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42" w:right="-32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Criterion II – Teaching-Learning and Evaluation</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sz w:val="10"/>
          <w:szCs w:val="10"/>
        </w:rPr>
      </w:pPr>
      <w:r w:rsidDel="00000000" w:rsidR="00000000" w:rsidRPr="00000000">
        <w:rPr>
          <w:rtl w:val="0"/>
        </w:rPr>
      </w:r>
    </w:p>
    <w:tbl>
      <w:tblPr>
        <w:tblStyle w:val="Table1"/>
        <w:tblW w:w="935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4"/>
        <w:gridCol w:w="8362"/>
        <w:tblGridChange w:id="0">
          <w:tblGrid>
            <w:gridCol w:w="994"/>
            <w:gridCol w:w="8362"/>
          </w:tblGrid>
        </w:tblGridChange>
      </w:tblGrid>
      <w:tr>
        <w:trPr>
          <w:cantSplit w:val="0"/>
          <w:trHeight w:val="61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3">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5">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- 2.1 Student Enrolment and Profile</w:t>
            </w: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2.1.1</w:t>
            </w: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Enrolment of Students </w:t>
            </w: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2.1.1.1: Number of students admitted (year-wise) during the year:</w:t>
            </w:r>
          </w:p>
          <w:tbl>
            <w:tblPr>
              <w:tblStyle w:val="Table2"/>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vAlign w:val="top"/>
                </w:tcPr>
                <w:p w:rsidR="00000000" w:rsidDel="00000000" w:rsidP="00000000" w:rsidRDefault="00000000" w:rsidRPr="00000000" w14:paraId="0000000B">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0C">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2023-24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0E">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1241</w:t>
                  </w:r>
                </w:p>
              </w:tc>
            </w:tr>
          </w:tbl>
          <w:p w:rsidR="00000000" w:rsidDel="00000000" w:rsidP="00000000" w:rsidRDefault="00000000" w:rsidRPr="00000000" w14:paraId="0000000F">
            <w:pPr>
              <w:spacing w:line="276"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sz w:val="24"/>
                <w:szCs w:val="24"/>
                <w:shd w:fill="e6f7ff" w:val="clear"/>
              </w:rPr>
            </w:pPr>
            <w:r w:rsidDel="00000000" w:rsidR="00000000" w:rsidRPr="00000000">
              <w:rPr>
                <w:rFonts w:ascii="Times New Roman" w:cs="Times New Roman" w:eastAsia="Times New Roman" w:hAnsi="Times New Roman"/>
                <w:sz w:val="24"/>
                <w:szCs w:val="24"/>
                <w:rtl w:val="0"/>
              </w:rPr>
              <w:t xml:space="preserve">2.1.1.2: Number of sanctioned seats (year-wise) during the year:</w:t>
            </w:r>
            <w:r w:rsidDel="00000000" w:rsidR="00000000" w:rsidRPr="00000000">
              <w:rPr>
                <w:rFonts w:ascii="Times New Roman" w:cs="Times New Roman" w:eastAsia="Times New Roman" w:hAnsi="Times New Roman"/>
                <w:sz w:val="24"/>
                <w:szCs w:val="24"/>
                <w:shd w:fill="e6f7ff" w:val="clear"/>
                <w:rtl w:val="0"/>
              </w:rPr>
              <w:t xml:space="preserve"> </w:t>
            </w:r>
          </w:p>
          <w:tbl>
            <w:tblPr>
              <w:tblStyle w:val="Table3"/>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vAlign w:val="top"/>
                </w:tcPr>
                <w:p w:rsidR="00000000" w:rsidDel="00000000" w:rsidP="00000000" w:rsidRDefault="00000000" w:rsidRPr="00000000" w14:paraId="00000011">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12">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2023-24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14">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1875</w:t>
                  </w:r>
                </w:p>
              </w:tc>
            </w:tr>
          </w:tbl>
          <w:p w:rsidR="00000000" w:rsidDel="00000000" w:rsidP="00000000" w:rsidRDefault="00000000" w:rsidRPr="00000000" w14:paraId="00000015">
            <w:pPr>
              <w:tabs>
                <w:tab w:val="center" w:leader="none" w:pos="3677"/>
                <w:tab w:val="left" w:leader="none" w:pos="5291"/>
              </w:tabs>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16">
            <w:pPr>
              <w:tabs>
                <w:tab w:val="center" w:leader="none" w:pos="3677"/>
                <w:tab w:val="left" w:leader="none" w:pos="5291"/>
              </w:tabs>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17">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tc>
      </w:tr>
      <w:tr>
        <w:trPr>
          <w:cantSplit w:val="0"/>
          <w:trHeight w:val="101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2.1.2</w:t>
            </w:r>
            <w:r w:rsidDel="00000000" w:rsidR="00000000" w:rsidRPr="00000000">
              <w:rPr>
                <w:rtl w:val="0"/>
              </w:rPr>
            </w:r>
          </w:p>
          <w:p w:rsidR="00000000" w:rsidDel="00000000" w:rsidP="00000000" w:rsidRDefault="00000000" w:rsidRPr="00000000" w14:paraId="00000019">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seats filled against reserved categories (SC, ST, OBC, Divyangjan, etc.) as per the reservation policy during the year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(exclusive of supernumerary seats):</w:t>
            </w:r>
            <w:r w:rsidDel="00000000" w:rsidR="00000000" w:rsidRPr="00000000">
              <w:rPr>
                <w:rtl w:val="0"/>
              </w:rPr>
            </w:r>
          </w:p>
          <w:tbl>
            <w:tblPr>
              <w:tblStyle w:val="Table4"/>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vAlign w:val="top"/>
                </w:tcPr>
                <w:p w:rsidR="00000000" w:rsidDel="00000000" w:rsidP="00000000" w:rsidRDefault="00000000" w:rsidRPr="00000000" w14:paraId="0000001C">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1D">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2023-24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E">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1F">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1536</w:t>
                  </w:r>
                </w:p>
              </w:tc>
            </w:tr>
          </w:tbl>
          <w:p w:rsidR="00000000" w:rsidDel="00000000" w:rsidP="00000000" w:rsidRDefault="00000000" w:rsidRPr="00000000" w14:paraId="00000020">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22">
            <w:pPr>
              <w:numPr>
                <w:ilvl w:val="0"/>
                <w:numId w:val="17"/>
              </w:numPr>
              <w:spacing w:line="240" w:lineRule="auto"/>
              <w:ind w:left="45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tc>
      </w:tr>
    </w:tbl>
    <w:p w:rsidR="00000000" w:rsidDel="00000000" w:rsidP="00000000" w:rsidRDefault="00000000" w:rsidRPr="00000000" w14:paraId="00000023">
      <w:pPr>
        <w:spacing w:line="276" w:lineRule="auto"/>
        <w:ind w:right="1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76" w:lineRule="auto"/>
        <w:ind w:right="180"/>
        <w:rPr>
          <w:rFonts w:ascii="Times New Roman" w:cs="Times New Roman" w:eastAsia="Times New Roman" w:hAnsi="Times New Roman"/>
          <w:sz w:val="24"/>
          <w:szCs w:val="24"/>
        </w:rPr>
      </w:pPr>
      <w:r w:rsidDel="00000000" w:rsidR="00000000" w:rsidRPr="00000000">
        <w:rPr>
          <w:rtl w:val="0"/>
        </w:rPr>
      </w:r>
    </w:p>
    <w:tbl>
      <w:tblPr>
        <w:tblStyle w:val="Table5"/>
        <w:tblW w:w="935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8363"/>
        <w:tblGridChange w:id="0">
          <w:tblGrid>
            <w:gridCol w:w="993"/>
            <w:gridCol w:w="8363"/>
          </w:tblGrid>
        </w:tblGridChange>
      </w:tblGrid>
      <w:tr>
        <w:trPr>
          <w:cantSplit w:val="0"/>
          <w:trHeight w:val="339.8730468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spacing w:line="120" w:lineRule="auto"/>
              <w:ind w:left="-108"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026">
            <w:pPr>
              <w:spacing w:line="120" w:lineRule="auto"/>
              <w:ind w:left="-108"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p w:rsidR="00000000" w:rsidDel="00000000" w:rsidP="00000000" w:rsidRDefault="00000000" w:rsidRPr="00000000" w14:paraId="00000027">
            <w:pPr>
              <w:spacing w:line="120" w:lineRule="auto"/>
              <w:ind w:right="18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8">
            <w:pPr>
              <w:spacing w:line="120" w:lineRule="auto"/>
              <w:ind w:right="18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9">
            <w:pPr>
              <w:spacing w:line="120" w:lineRule="auto"/>
              <w:ind w:right="180"/>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line="120" w:lineRule="auto"/>
              <w:ind w:right="18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B">
            <w:pPr>
              <w:spacing w:line="120" w:lineRule="auto"/>
              <w:ind w:right="18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- 2.2 Catering to Student Diversity</w:t>
            </w:r>
            <w:r w:rsidDel="00000000" w:rsidR="00000000" w:rsidRPr="00000000">
              <w:rPr>
                <w:rtl w:val="0"/>
              </w:rPr>
            </w:r>
          </w:p>
          <w:p w:rsidR="00000000" w:rsidDel="00000000" w:rsidP="00000000" w:rsidRDefault="00000000" w:rsidRPr="00000000" w14:paraId="0000002C">
            <w:pPr>
              <w:spacing w:line="120" w:lineRule="auto"/>
              <w:ind w:right="180"/>
              <w:jc w:val="left"/>
              <w:rPr>
                <w:rFonts w:ascii="Times New Roman" w:cs="Times New Roman" w:eastAsia="Times New Roman" w:hAnsi="Times New Roman"/>
                <w:sz w:val="26"/>
                <w:szCs w:val="26"/>
              </w:rPr>
            </w:pPr>
            <w:r w:rsidDel="00000000" w:rsidR="00000000" w:rsidRPr="00000000">
              <w:rPr>
                <w:rtl w:val="0"/>
              </w:rPr>
            </w:r>
          </w:p>
        </w:tc>
      </w:tr>
      <w:tr>
        <w:trPr>
          <w:cantSplit w:val="0"/>
          <w:trHeight w:val="233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spacing w:line="276" w:lineRule="auto"/>
              <w:ind w:right="1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2.2.1</w:t>
            </w:r>
            <w:r w:rsidDel="00000000" w:rsidR="00000000" w:rsidRPr="00000000">
              <w:rPr>
                <w:rtl w:val="0"/>
              </w:rPr>
            </w:r>
          </w:p>
          <w:p w:rsidR="00000000" w:rsidDel="00000000" w:rsidP="00000000" w:rsidRDefault="00000000" w:rsidRPr="00000000" w14:paraId="0000002E">
            <w:pPr>
              <w:spacing w:line="276" w:lineRule="auto"/>
              <w:ind w:right="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76" w:lineRule="auto"/>
              <w:ind w:right="1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spacing w:line="276" w:lineRule="auto"/>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institution assesses students’ learning levels and organizes special programmes for both slow and advanced learners: </w:t>
            </w: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a write-up within 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maximum of </w:t>
            </w:r>
            <w:r w:rsidDel="00000000" w:rsidR="00000000" w:rsidRPr="00000000">
              <w:rPr>
                <w:rFonts w:ascii="Times New Roman" w:cs="Times New Roman" w:eastAsia="Times New Roman" w:hAnsi="Times New Roman"/>
                <w:b w:val="1"/>
                <w:rtl w:val="0"/>
              </w:rPr>
              <w:t xml:space="preserve">200 </w:t>
            </w:r>
            <w:r w:rsidDel="00000000" w:rsidR="00000000" w:rsidRPr="00000000">
              <w:rPr>
                <w:rFonts w:ascii="Times New Roman" w:cs="Times New Roman" w:eastAsia="Times New Roman" w:hAnsi="Times New Roman"/>
                <w:b w:val="1"/>
                <w:sz w:val="24"/>
                <w:szCs w:val="24"/>
                <w:rtl w:val="0"/>
              </w:rPr>
              <w:t xml:space="preserve">words.</w:t>
            </w:r>
            <w:r w:rsidDel="00000000" w:rsidR="00000000" w:rsidRPr="00000000">
              <w:rPr>
                <w:rtl w:val="0"/>
              </w:rPr>
            </w:r>
          </w:p>
          <w:p w:rsidR="00000000" w:rsidDel="00000000" w:rsidP="00000000" w:rsidRDefault="00000000" w:rsidRPr="00000000" w14:paraId="00000032">
            <w:pPr>
              <w:spacing w:after="200" w:line="276" w:lineRule="auto"/>
              <w:ind w:right="180"/>
              <w:rPr>
                <w:rFonts w:ascii="Times New Roman" w:cs="Times New Roman" w:eastAsia="Times New Roman" w:hAnsi="Times New Roman"/>
                <w:color w:val="474747"/>
                <w:sz w:val="24"/>
                <w:szCs w:val="24"/>
                <w:highlight w:val="white"/>
              </w:rPr>
            </w:pPr>
            <w:r w:rsidDel="00000000" w:rsidR="00000000" w:rsidRPr="00000000">
              <w:rPr>
                <w:rFonts w:ascii="Times New Roman" w:cs="Times New Roman" w:eastAsia="Times New Roman" w:hAnsi="Times New Roman"/>
                <w:color w:val="474747"/>
                <w:sz w:val="24"/>
                <w:szCs w:val="24"/>
                <w:highlight w:val="white"/>
                <w:rtl w:val="0"/>
              </w:rPr>
              <w:t xml:space="preserve">The departments use monitoring and mentoring to keep track of slow learners’ progress. Along with teachers, some advanced learners are encouraged to mentor weak students and help them with explanations and notes. Revision classes and counseling sessions are held and additional teaching is taken up if required. Tutoring by peers, senior students, and mentors is offered. Corrected assignments and answer scripts are shared with each student and discussed to enable students to recognize their problem areas and improve.Emphasizing concrete and visual forms of content also helps compensate for the general difficulty slow learners have in grasping abstract ideas and concepts.</w:t>
            </w:r>
          </w:p>
          <w:p w:rsidR="00000000" w:rsidDel="00000000" w:rsidP="00000000" w:rsidRDefault="00000000" w:rsidRPr="00000000" w14:paraId="00000033">
            <w:pPr>
              <w:spacing w:after="200" w:line="276" w:lineRule="auto"/>
              <w:ind w:right="180"/>
              <w:rPr>
                <w:rFonts w:ascii="Times New Roman" w:cs="Times New Roman" w:eastAsia="Times New Roman" w:hAnsi="Times New Roman"/>
                <w:color w:val="474747"/>
                <w:sz w:val="24"/>
                <w:szCs w:val="24"/>
                <w:highlight w:val="white"/>
              </w:rPr>
            </w:pPr>
            <w:r w:rsidDel="00000000" w:rsidR="00000000" w:rsidRPr="00000000">
              <w:rPr>
                <w:rFonts w:ascii="Times New Roman" w:cs="Times New Roman" w:eastAsia="Times New Roman" w:hAnsi="Times New Roman"/>
                <w:color w:val="474747"/>
                <w:sz w:val="24"/>
                <w:szCs w:val="24"/>
                <w:highlight w:val="white"/>
                <w:rtl w:val="0"/>
              </w:rPr>
              <w:t xml:space="preserve">Following activities are done by teachers for students: </w:t>
            </w:r>
          </w:p>
          <w:p w:rsidR="00000000" w:rsidDel="00000000" w:rsidP="00000000" w:rsidRDefault="00000000" w:rsidRPr="00000000" w14:paraId="00000034">
            <w:pPr>
              <w:spacing w:after="200" w:line="276" w:lineRule="auto"/>
              <w:ind w:right="180"/>
              <w:rPr>
                <w:rFonts w:ascii="Times New Roman" w:cs="Times New Roman" w:eastAsia="Times New Roman" w:hAnsi="Times New Roman"/>
                <w:color w:val="474747"/>
                <w:sz w:val="24"/>
                <w:szCs w:val="24"/>
                <w:highlight w:val="white"/>
              </w:rPr>
            </w:pPr>
            <w:r w:rsidDel="00000000" w:rsidR="00000000" w:rsidRPr="00000000">
              <w:rPr>
                <w:rFonts w:ascii="Times New Roman" w:cs="Times New Roman" w:eastAsia="Times New Roman" w:hAnsi="Times New Roman"/>
                <w:color w:val="474747"/>
                <w:sz w:val="24"/>
                <w:szCs w:val="24"/>
                <w:highlight w:val="white"/>
                <w:rtl w:val="0"/>
              </w:rPr>
              <w:t xml:space="preserve">Slow learners: 1. Individual counselling. 2. Remedial Coaching 3. Extra notes. 4. Group discussion session. 5. Internal examination process. 6. Daily Home Assignments, Class Assignments. 7. Seminars and Group Discussions.8. Quizzes, Class Tests 9. Projects, Internships, Viva-voce examinations and attendance.In order to enhance their confidence level, the department conducts different activities such as NSS, Cultural, and Sports to develop their overall personality.</w:t>
            </w:r>
          </w:p>
          <w:p w:rsidR="00000000" w:rsidDel="00000000" w:rsidP="00000000" w:rsidRDefault="00000000" w:rsidRPr="00000000" w14:paraId="00000035">
            <w:pPr>
              <w:spacing w:after="200" w:line="276" w:lineRule="auto"/>
              <w:ind w:right="180"/>
              <w:rPr>
                <w:rFonts w:ascii="Times New Roman" w:cs="Times New Roman" w:eastAsia="Times New Roman" w:hAnsi="Times New Roman"/>
                <w:color w:val="474747"/>
                <w:sz w:val="24"/>
                <w:szCs w:val="24"/>
                <w:highlight w:val="white"/>
              </w:rPr>
            </w:pPr>
            <w:r w:rsidDel="00000000" w:rsidR="00000000" w:rsidRPr="00000000">
              <w:rPr>
                <w:rFonts w:ascii="Times New Roman" w:cs="Times New Roman" w:eastAsia="Times New Roman" w:hAnsi="Times New Roman"/>
                <w:color w:val="474747"/>
                <w:sz w:val="24"/>
                <w:szCs w:val="24"/>
                <w:highlight w:val="white"/>
                <w:rtl w:val="0"/>
              </w:rPr>
              <w:t xml:space="preserve">Advance learners: 1. Advance notes 2. Seminar sessions 3. Participative learning sessions i.e., Self-Discipline Day &amp; Teachers Day 4. </w:t>
            </w:r>
            <w:r w:rsidDel="00000000" w:rsidR="00000000" w:rsidRPr="00000000">
              <w:rPr>
                <w:rFonts w:ascii="Times New Roman" w:cs="Times New Roman" w:eastAsia="Times New Roman" w:hAnsi="Times New Roman"/>
                <w:color w:val="474747"/>
                <w:sz w:val="24"/>
                <w:szCs w:val="24"/>
                <w:highlight w:val="white"/>
                <w:rtl w:val="0"/>
              </w:rPr>
              <w:t xml:space="preserve">Experimental</w:t>
            </w:r>
            <w:r w:rsidDel="00000000" w:rsidR="00000000" w:rsidRPr="00000000">
              <w:rPr>
                <w:rFonts w:ascii="Times New Roman" w:cs="Times New Roman" w:eastAsia="Times New Roman" w:hAnsi="Times New Roman"/>
                <w:color w:val="474747"/>
                <w:sz w:val="24"/>
                <w:szCs w:val="24"/>
                <w:highlight w:val="white"/>
                <w:rtl w:val="0"/>
              </w:rPr>
              <w:t xml:space="preserve"> learning sessions i.e., Industrial Tour 5. Projects 6. Assessments 7. Group discussion sessions 8. Internet facility. 9. Advance questions papers. In order to enhance their confidence level, the department conducts different activities such as NSS, Cultural, and Sports to develop their overall personality.</w:t>
            </w:r>
          </w:p>
          <w:p w:rsidR="00000000" w:rsidDel="00000000" w:rsidP="00000000" w:rsidRDefault="00000000" w:rsidRPr="00000000" w14:paraId="00000036">
            <w:pPr>
              <w:numPr>
                <w:ilvl w:val="0"/>
                <w:numId w:val="11"/>
              </w:numPr>
              <w:spacing w:line="240" w:lineRule="auto"/>
              <w:ind w:left="31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37">
            <w:pPr>
              <w:numPr>
                <w:ilvl w:val="0"/>
                <w:numId w:val="11"/>
              </w:numPr>
              <w:spacing w:line="240" w:lineRule="auto"/>
              <w:ind w:left="31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spacing w:line="276" w:lineRule="auto"/>
              <w:ind w:right="1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2.2.2</w:t>
            </w:r>
            <w:r w:rsidDel="00000000" w:rsidR="00000000" w:rsidRPr="00000000">
              <w:rPr>
                <w:rtl w:val="0"/>
              </w:rPr>
            </w:r>
          </w:p>
          <w:p w:rsidR="00000000" w:rsidDel="00000000" w:rsidP="00000000" w:rsidRDefault="00000000" w:rsidRPr="00000000" w14:paraId="00000039">
            <w:pPr>
              <w:spacing w:line="276" w:lineRule="auto"/>
              <w:ind w:right="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76" w:lineRule="auto"/>
              <w:ind w:right="1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spacing w:line="276" w:lineRule="auto"/>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Student – Teacher (full-time) ratio: </w:t>
            </w:r>
            <w:r w:rsidDel="00000000" w:rsidR="00000000" w:rsidRPr="00000000">
              <w:rPr>
                <w:rtl w:val="0"/>
              </w:rPr>
            </w:r>
          </w:p>
          <w:tbl>
            <w:tblPr>
              <w:tblStyle w:val="Table6"/>
              <w:tblW w:w="4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0"/>
              <w:gridCol w:w="1843"/>
              <w:tblGridChange w:id="0">
                <w:tblGrid>
                  <w:gridCol w:w="2580"/>
                  <w:gridCol w:w="1843"/>
                </w:tblGrid>
              </w:tblGridChange>
            </w:tblGrid>
            <w:tr>
              <w:trPr>
                <w:cantSplit w:val="0"/>
                <w:tblHeader w:val="0"/>
              </w:trPr>
              <w:tc>
                <w:tcPr>
                  <w:vAlign w:val="top"/>
                </w:tcPr>
                <w:p w:rsidR="00000000" w:rsidDel="00000000" w:rsidP="00000000" w:rsidRDefault="00000000" w:rsidRPr="00000000" w14:paraId="0000003C">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3D">
                  <w:pPr>
                    <w:spacing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2023-24</w:t>
                  </w:r>
                </w:p>
              </w:tc>
            </w:tr>
            <w:tr>
              <w:trPr>
                <w:cantSplit w:val="0"/>
                <w:tblHeader w:val="0"/>
              </w:trPr>
              <w:tc>
                <w:tcPr>
                  <w:vAlign w:val="top"/>
                </w:tcPr>
                <w:p w:rsidR="00000000" w:rsidDel="00000000" w:rsidP="00000000" w:rsidRDefault="00000000" w:rsidRPr="00000000" w14:paraId="0000003E">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Students</w:t>
                  </w:r>
                  <w:r w:rsidDel="00000000" w:rsidR="00000000" w:rsidRPr="00000000">
                    <w:rPr>
                      <w:rtl w:val="0"/>
                    </w:rPr>
                  </w:r>
                </w:p>
              </w:tc>
              <w:tc>
                <w:tcPr>
                  <w:vAlign w:val="top"/>
                </w:tcPr>
                <w:p w:rsidR="00000000" w:rsidDel="00000000" w:rsidP="00000000" w:rsidRDefault="00000000" w:rsidRPr="00000000" w14:paraId="0000003F">
                  <w:pPr>
                    <w:spacing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2073</w:t>
                  </w:r>
                </w:p>
              </w:tc>
            </w:tr>
            <w:tr>
              <w:trPr>
                <w:cantSplit w:val="0"/>
                <w:tblHeader w:val="0"/>
              </w:trPr>
              <w:tc>
                <w:tcPr>
                  <w:vAlign w:val="top"/>
                </w:tcPr>
                <w:p w:rsidR="00000000" w:rsidDel="00000000" w:rsidP="00000000" w:rsidRDefault="00000000" w:rsidRPr="00000000" w14:paraId="00000040">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teachers</w:t>
                  </w:r>
                  <w:r w:rsidDel="00000000" w:rsidR="00000000" w:rsidRPr="00000000">
                    <w:rPr>
                      <w:rtl w:val="0"/>
                    </w:rPr>
                  </w:r>
                </w:p>
              </w:tc>
              <w:tc>
                <w:tcPr>
                  <w:vAlign w:val="top"/>
                </w:tcPr>
                <w:p w:rsidR="00000000" w:rsidDel="00000000" w:rsidP="00000000" w:rsidRDefault="00000000" w:rsidRPr="00000000" w14:paraId="00000041">
                  <w:pPr>
                    <w:spacing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84</w:t>
                  </w:r>
                </w:p>
              </w:tc>
            </w:tr>
          </w:tbl>
          <w:p w:rsidR="00000000" w:rsidDel="00000000" w:rsidP="00000000" w:rsidRDefault="00000000" w:rsidRPr="00000000" w14:paraId="0000004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044">
            <w:pPr>
              <w:numPr>
                <w:ilvl w:val="0"/>
                <w:numId w:val="21"/>
              </w:numPr>
              <w:spacing w:line="240" w:lineRule="auto"/>
              <w:ind w:left="459" w:right="1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number of students in the institution</w:t>
            </w:r>
          </w:p>
          <w:p w:rsidR="00000000" w:rsidDel="00000000" w:rsidP="00000000" w:rsidRDefault="00000000" w:rsidRPr="00000000" w14:paraId="00000045">
            <w:pPr>
              <w:numPr>
                <w:ilvl w:val="0"/>
                <w:numId w:val="21"/>
              </w:numPr>
              <w:spacing w:line="276" w:lineRule="auto"/>
              <w:ind w:left="459" w:right="1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number of full-time teachers in the institution</w:t>
            </w:r>
          </w:p>
          <w:p w:rsidR="00000000" w:rsidDel="00000000" w:rsidP="00000000" w:rsidRDefault="00000000" w:rsidRPr="00000000" w14:paraId="00000046">
            <w:pPr>
              <w:spacing w:line="276" w:lineRule="auto"/>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Formula:   Students: Teacher</w:t>
            </w:r>
          </w:p>
          <w:p w:rsidR="00000000" w:rsidDel="00000000" w:rsidP="00000000" w:rsidRDefault="00000000" w:rsidRPr="00000000" w14:paraId="00000047">
            <w:pPr>
              <w:spacing w:after="200" w:line="276" w:lineRule="auto"/>
              <w:ind w:righ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48">
            <w:pPr>
              <w:numPr>
                <w:ilvl w:val="0"/>
                <w:numId w:val="12"/>
              </w:numPr>
              <w:spacing w:line="240" w:lineRule="auto"/>
              <w:ind w:left="45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49">
            <w:pPr>
              <w:spacing w:line="240" w:lineRule="auto"/>
              <w:ind w:left="9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                                                                                                                                                                                                               </w:t>
            </w:r>
            <w:r w:rsidDel="00000000" w:rsidR="00000000" w:rsidRPr="00000000">
              <w:rPr>
                <w:rtl w:val="0"/>
              </w:rPr>
            </w:r>
          </w:p>
        </w:tc>
      </w:tr>
    </w:tbl>
    <w:p w:rsidR="00000000" w:rsidDel="00000000" w:rsidP="00000000" w:rsidRDefault="00000000" w:rsidRPr="00000000" w14:paraId="0000004A">
      <w:pPr>
        <w:spacing w:line="276" w:lineRule="auto"/>
        <w:ind w:left="2020" w:firstLine="0"/>
        <w:rPr>
          <w:rFonts w:ascii="Times New Roman" w:cs="Times New Roman" w:eastAsia="Times New Roman" w:hAnsi="Times New Roman"/>
          <w:sz w:val="24"/>
          <w:szCs w:val="24"/>
        </w:rPr>
      </w:pPr>
      <w:r w:rsidDel="00000000" w:rsidR="00000000" w:rsidRPr="00000000">
        <w:rPr>
          <w:rtl w:val="0"/>
        </w:rPr>
      </w:r>
    </w:p>
    <w:tbl>
      <w:tblPr>
        <w:tblStyle w:val="Table7"/>
        <w:tblW w:w="935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8363"/>
        <w:tblGridChange w:id="0">
          <w:tblGrid>
            <w:gridCol w:w="993"/>
            <w:gridCol w:w="83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spacing w:line="240" w:lineRule="auto"/>
              <w:ind w:left="-108"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- 2.3 Teaching - Learning Process</w:t>
            </w:r>
            <w:r w:rsidDel="00000000" w:rsidR="00000000" w:rsidRPr="00000000">
              <w:rPr>
                <w:rtl w:val="0"/>
              </w:rPr>
            </w:r>
          </w:p>
        </w:tc>
      </w:tr>
      <w:tr>
        <w:trPr>
          <w:cantSplit w:val="0"/>
          <w:trHeight w:val="224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2.3.1</w:t>
            </w:r>
            <w:r w:rsidDel="00000000" w:rsidR="00000000" w:rsidRPr="00000000">
              <w:rPr>
                <w:rtl w:val="0"/>
              </w:rPr>
            </w:r>
          </w:p>
          <w:p w:rsidR="00000000" w:rsidDel="00000000" w:rsidP="00000000" w:rsidRDefault="00000000" w:rsidRPr="00000000" w14:paraId="0000004E">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Student-centric methods such as experiential learning, participative learning and problem-solving methodologies are used for enhancing learning experiences:</w:t>
            </w:r>
            <w:r w:rsidDel="00000000" w:rsidR="00000000" w:rsidRPr="00000000">
              <w:rPr>
                <w:rtl w:val="0"/>
              </w:rPr>
            </w:r>
          </w:p>
          <w:p w:rsidR="00000000" w:rsidDel="00000000" w:rsidP="00000000" w:rsidRDefault="00000000" w:rsidRPr="00000000" w14:paraId="0000005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prioritize ease of understanding and are adaptive as well as dynamic in their approach. Various pedagogies are used for the same. Teachers use concept based learning associated with case studies at preliminary stages. For more advanced understanding other methods like simulations, group discussions, animated videos, virtual lab videos etc are used.  To enhance the participation and interest of students and encourage hands-on approach certain topics are demonstrated through presentations, role play, skit performance, poster presentation chart building, research paper compilations and game based learning like puzzle, quiz are also maneuvered. In case of practical based subjects, laboratories are also used as needed. ICT lectures and PPT Lectures are conducted to enhance Students understanding. Problems are created in the classroom itself so as to encompass different situations and accordingly solutions can be derived. Efforts for a multidisciplinary approach is also undertaken.</w:t>
            </w:r>
          </w:p>
          <w:p w:rsidR="00000000" w:rsidDel="00000000" w:rsidP="00000000" w:rsidRDefault="00000000" w:rsidRPr="00000000" w14:paraId="00000053">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54">
            <w:pPr>
              <w:numPr>
                <w:ilvl w:val="0"/>
                <w:numId w:val="1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55">
            <w:pPr>
              <w:numPr>
                <w:ilvl w:val="0"/>
                <w:numId w:val="1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for additional Information</w:t>
            </w:r>
          </w:p>
        </w:tc>
      </w:tr>
      <w:tr>
        <w:trPr>
          <w:cantSplit w:val="0"/>
          <w:trHeight w:val="15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2.3.2</w:t>
            </w:r>
            <w:r w:rsidDel="00000000" w:rsidR="00000000" w:rsidRPr="00000000">
              <w:rPr>
                <w:rtl w:val="0"/>
              </w:rPr>
            </w:r>
          </w:p>
          <w:p w:rsidR="00000000" w:rsidDel="00000000" w:rsidP="00000000" w:rsidRDefault="00000000" w:rsidRPr="00000000" w14:paraId="00000057">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Teachers use ICT-enabled tools including online resources for effective teaching and learning: </w:t>
            </w:r>
            <w:r w:rsidDel="00000000" w:rsidR="00000000" w:rsidRPr="00000000">
              <w:rPr>
                <w:rtl w:val="0"/>
              </w:rPr>
            </w:r>
          </w:p>
          <w:p w:rsidR="00000000" w:rsidDel="00000000" w:rsidP="00000000" w:rsidRDefault="00000000" w:rsidRPr="00000000" w14:paraId="0000005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students are accustomed to modern day technology. It has inadvertently deteriorated the attention span of students hence needed to develop pedagogy that can quickly make them understand and drive their interest too. Teachers have therefore availed the same technology in education in various ways. They use powerpoint presentations for consolidating large topics in brief. Interviews of experts from youtube, animated videos are also shown. To share study material and additional articles are provided through google classrooms. Certain subject specific tools are also used such as MapIT GIS, Google earth, QGIS etc for Geography, Writing pads in information technology, Google sheet , Microsoft Excel for problems solving courses like Accounting are also incorporated. Teachers have also used AI-enabled tools such as ChatGPT. Certain Apps like Windy App have also been used to enable easy learning.</w:t>
            </w:r>
          </w:p>
          <w:p w:rsidR="00000000" w:rsidDel="00000000" w:rsidP="00000000" w:rsidRDefault="00000000" w:rsidRPr="00000000" w14:paraId="0000005C">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5D">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link for webpage describing ICT enabled tools including online resources for effective teaching and learning process</w:t>
            </w:r>
          </w:p>
          <w:p w:rsidR="00000000" w:rsidDel="00000000" w:rsidP="00000000" w:rsidRDefault="00000000" w:rsidRPr="00000000" w14:paraId="0000005E">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5F">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3305.029296875000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2.3.3</w:t>
            </w:r>
            <w:r w:rsidDel="00000000" w:rsidR="00000000" w:rsidRPr="00000000">
              <w:rPr>
                <w:rtl w:val="0"/>
              </w:rPr>
            </w:r>
          </w:p>
          <w:p w:rsidR="00000000" w:rsidDel="00000000" w:rsidP="00000000" w:rsidRDefault="00000000" w:rsidRPr="00000000" w14:paraId="00000061">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widowControl w:val="0"/>
              <w:tabs>
                <w:tab w:val="left" w:leader="none" w:pos="-378"/>
              </w:tabs>
              <w:spacing w:line="276" w:lineRule="auto"/>
              <w:ind w:right="5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Ratio of students to mentor for academic and other related issues: </w:t>
            </w:r>
            <w:r w:rsidDel="00000000" w:rsidR="00000000" w:rsidRPr="00000000">
              <w:rPr>
                <w:rtl w:val="0"/>
              </w:rPr>
            </w:r>
          </w:p>
          <w:p w:rsidR="00000000" w:rsidDel="00000000" w:rsidP="00000000" w:rsidRDefault="00000000" w:rsidRPr="00000000" w14:paraId="0000006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2.3.3.1: Number of mentors: </w:t>
            </w:r>
          </w:p>
          <w:p w:rsidR="00000000" w:rsidDel="00000000" w:rsidP="00000000" w:rsidRDefault="00000000" w:rsidRPr="00000000" w14:paraId="0000006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Number of students assigned to each mentor: 60</w:t>
            </w:r>
          </w:p>
          <w:tbl>
            <w:tblPr>
              <w:tblStyle w:val="Table8"/>
              <w:tblW w:w="42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9"/>
              <w:gridCol w:w="1842"/>
              <w:tblGridChange w:id="0">
                <w:tblGrid>
                  <w:gridCol w:w="2439"/>
                  <w:gridCol w:w="1842"/>
                </w:tblGrid>
              </w:tblGridChange>
            </w:tblGrid>
            <w:tr>
              <w:trPr>
                <w:cantSplit w:val="0"/>
                <w:tblHeader w:val="0"/>
              </w:trPr>
              <w:tc>
                <w:tcPr>
                  <w:vAlign w:val="top"/>
                </w:tcPr>
                <w:p w:rsidR="00000000" w:rsidDel="00000000" w:rsidP="00000000" w:rsidRDefault="00000000" w:rsidRPr="00000000" w14:paraId="00000066">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67">
                  <w:pPr>
                    <w:spacing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2023-24</w:t>
                  </w:r>
                </w:p>
              </w:tc>
            </w:tr>
            <w:tr>
              <w:trPr>
                <w:cantSplit w:val="0"/>
                <w:tblHeader w:val="0"/>
              </w:trPr>
              <w:tc>
                <w:tcPr>
                  <w:vAlign w:val="top"/>
                </w:tcPr>
                <w:p w:rsidR="00000000" w:rsidDel="00000000" w:rsidP="00000000" w:rsidRDefault="00000000" w:rsidRPr="00000000" w14:paraId="00000068">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mentors</w:t>
                  </w:r>
                  <w:r w:rsidDel="00000000" w:rsidR="00000000" w:rsidRPr="00000000">
                    <w:rPr>
                      <w:rtl w:val="0"/>
                    </w:rPr>
                  </w:r>
                </w:p>
              </w:tc>
              <w:tc>
                <w:tcPr>
                  <w:vAlign w:val="top"/>
                </w:tcPr>
                <w:p w:rsidR="00000000" w:rsidDel="00000000" w:rsidP="00000000" w:rsidRDefault="00000000" w:rsidRPr="00000000" w14:paraId="00000069">
                  <w:pPr>
                    <w:spacing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84</w:t>
                  </w:r>
                </w:p>
              </w:tc>
            </w:tr>
          </w:tbl>
          <w:p w:rsidR="00000000" w:rsidDel="00000000" w:rsidP="00000000" w:rsidRDefault="00000000" w:rsidRPr="00000000" w14:paraId="0000006A">
            <w:pPr>
              <w:widowControl w:val="0"/>
              <w:tabs>
                <w:tab w:val="left" w:leader="none" w:pos="-378"/>
              </w:tabs>
              <w:spacing w:line="276" w:lineRule="auto"/>
              <w:ind w:right="5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Formula: Mentor: Mentee </w:t>
            </w:r>
          </w:p>
          <w:p w:rsidR="00000000" w:rsidDel="00000000" w:rsidP="00000000" w:rsidRDefault="00000000" w:rsidRPr="00000000" w14:paraId="0000006B">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6C">
            <w:pPr>
              <w:widowControl w:val="0"/>
              <w:numPr>
                <w:ilvl w:val="0"/>
                <w:numId w:val="22"/>
              </w:numPr>
              <w:spacing w:line="240" w:lineRule="auto"/>
              <w:ind w:left="720" w:right="53"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year-wise number of students enrolled and full-time teachers on roll </w:t>
            </w:r>
          </w:p>
          <w:p w:rsidR="00000000" w:rsidDel="00000000" w:rsidP="00000000" w:rsidRDefault="00000000" w:rsidRPr="00000000" w14:paraId="0000006D">
            <w:pPr>
              <w:widowControl w:val="0"/>
              <w:numPr>
                <w:ilvl w:val="0"/>
                <w:numId w:val="22"/>
              </w:numPr>
              <w:spacing w:line="240" w:lineRule="auto"/>
              <w:ind w:left="720" w:right="53"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Circulars with regard to assigning mentors to mentees </w:t>
            </w:r>
          </w:p>
          <w:p w:rsidR="00000000" w:rsidDel="00000000" w:rsidP="00000000" w:rsidRDefault="00000000" w:rsidRPr="00000000" w14:paraId="0000006E">
            <w:pPr>
              <w:widowControl w:val="0"/>
              <w:spacing w:line="240" w:lineRule="auto"/>
              <w:ind w:left="360" w:right="5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                                                                                                                                                                                                         </w:t>
            </w:r>
            <w:r w:rsidDel="00000000" w:rsidR="00000000" w:rsidRPr="00000000">
              <w:rPr>
                <w:rtl w:val="0"/>
              </w:rPr>
            </w:r>
          </w:p>
        </w:tc>
      </w:tr>
      <w:tr>
        <w:trPr>
          <w:cantSplit w:val="0"/>
          <w:trHeight w:val="155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2.3.4</w:t>
            </w:r>
            <w:r w:rsidDel="00000000" w:rsidR="00000000" w:rsidRPr="00000000">
              <w:rPr>
                <w:rtl w:val="0"/>
              </w:rPr>
            </w:r>
          </w:p>
          <w:p w:rsidR="00000000" w:rsidDel="00000000" w:rsidP="00000000" w:rsidRDefault="00000000" w:rsidRPr="00000000" w14:paraId="00000070">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Preparation and adherence to Academic Calendar and Teaching Plans by the institution:</w:t>
            </w:r>
            <w:r w:rsidDel="00000000" w:rsidR="00000000" w:rsidRPr="00000000">
              <w:rPr>
                <w:rtl w:val="0"/>
              </w:rPr>
            </w:r>
          </w:p>
          <w:p w:rsidR="00000000" w:rsidDel="00000000" w:rsidP="00000000" w:rsidRDefault="00000000" w:rsidRPr="00000000" w14:paraId="0000007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beginning of the academic year an academic calendar is prepared at institutional level which includes the number of teaching days available in the year. This is shared with all teachers through Programme or course coordinators. With reference to this academic calendar, Programme coordinators prepare an academic calendar at programme level which will include activities and competitions planned for the academic year. Programme coordinators will also instruct the teachers to prepare a teaching plan with available teaching days, courses allotted and lecture load per allotted course. Teaching plan is prepared for each term course wise. Programme coordinators regularly take updates from the teachers relating to their progress in relation to the teaching plan and note down any differences and reasons for the same. This supports the building of a teaching plan for the next term.</w:t>
            </w:r>
          </w:p>
        </w:tc>
      </w:tr>
    </w:tbl>
    <w:p w:rsidR="00000000" w:rsidDel="00000000" w:rsidP="00000000" w:rsidRDefault="00000000" w:rsidRPr="00000000" w14:paraId="00000074">
      <w:pPr>
        <w:spacing w:line="276" w:lineRule="auto"/>
        <w:rPr>
          <w:rFonts w:ascii="Times New Roman" w:cs="Times New Roman" w:eastAsia="Times New Roman" w:hAnsi="Times New Roman"/>
          <w:sz w:val="24"/>
          <w:szCs w:val="24"/>
        </w:rPr>
      </w:pPr>
      <w:r w:rsidDel="00000000" w:rsidR="00000000" w:rsidRPr="00000000">
        <w:rPr>
          <w:rtl w:val="0"/>
        </w:rPr>
      </w:r>
    </w:p>
    <w:tbl>
      <w:tblPr>
        <w:tblStyle w:val="Table9"/>
        <w:tblW w:w="935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8363"/>
        <w:tblGridChange w:id="0">
          <w:tblGrid>
            <w:gridCol w:w="993"/>
            <w:gridCol w:w="83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spacing w:line="240" w:lineRule="auto"/>
              <w:ind w:left="-108"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076">
            <w:pPr>
              <w:spacing w:line="240" w:lineRule="auto"/>
              <w:ind w:left="-108"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7">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- 2.4 Teacher Profile and Quality</w:t>
            </w:r>
            <w:r w:rsidDel="00000000" w:rsidR="00000000" w:rsidRPr="00000000">
              <w:rPr>
                <w:rtl w:val="0"/>
              </w:rPr>
            </w:r>
          </w:p>
        </w:tc>
      </w:tr>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2.4.1</w:t>
            </w:r>
            <w:r w:rsidDel="00000000" w:rsidR="00000000" w:rsidRPr="00000000">
              <w:rPr>
                <w:rtl w:val="0"/>
              </w:rPr>
            </w:r>
          </w:p>
          <w:p w:rsidR="00000000" w:rsidDel="00000000" w:rsidP="00000000" w:rsidRDefault="00000000" w:rsidRPr="00000000" w14:paraId="00000079">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full-time teachers against sanctioned posts during the year:</w:t>
            </w:r>
            <w:r w:rsidDel="00000000" w:rsidR="00000000" w:rsidRPr="00000000">
              <w:rPr>
                <w:rtl w:val="0"/>
              </w:rPr>
            </w:r>
          </w:p>
          <w:tbl>
            <w:tblPr>
              <w:tblStyle w:val="Table10"/>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vAlign w:val="top"/>
                </w:tcPr>
                <w:p w:rsidR="00000000" w:rsidDel="00000000" w:rsidP="00000000" w:rsidRDefault="00000000" w:rsidRPr="00000000" w14:paraId="0000007C">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7D">
                  <w:pPr>
                    <w:spacing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2023-24</w:t>
                  </w:r>
                </w:p>
              </w:tc>
            </w:tr>
            <w:tr>
              <w:trPr>
                <w:cantSplit w:val="0"/>
                <w:tblHeader w:val="0"/>
              </w:trPr>
              <w:tc>
                <w:tcPr>
                  <w:vAlign w:val="top"/>
                </w:tcPr>
                <w:p w:rsidR="00000000" w:rsidDel="00000000" w:rsidP="00000000" w:rsidRDefault="00000000" w:rsidRPr="00000000" w14:paraId="0000007E">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7F">
                  <w:pPr>
                    <w:spacing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r>
          </w:tbl>
          <w:p w:rsidR="00000000" w:rsidDel="00000000" w:rsidP="00000000" w:rsidRDefault="00000000" w:rsidRPr="00000000" w14:paraId="0000008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08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full-time teachers</w:t>
            </w:r>
          </w:p>
          <w:p w:rsidR="00000000" w:rsidDel="00000000" w:rsidP="00000000" w:rsidRDefault="00000000" w:rsidRPr="00000000" w14:paraId="0000008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sanctioned posts </w:t>
            </w:r>
          </w:p>
          <w:p w:rsidR="00000000" w:rsidDel="00000000" w:rsidP="00000000" w:rsidRDefault="00000000" w:rsidRPr="00000000" w14:paraId="0000008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 the data template: </w:t>
            </w:r>
          </w:p>
          <w:p w:rsidR="00000000" w:rsidDel="00000000" w:rsidP="00000000" w:rsidRDefault="00000000" w:rsidRPr="00000000" w14:paraId="00000087">
            <w:pPr>
              <w:numPr>
                <w:ilvl w:val="0"/>
                <w:numId w:val="1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Year-wise full-time teachers and sanctioned posts for the year</w:t>
            </w:r>
          </w:p>
          <w:p w:rsidR="00000000" w:rsidDel="00000000" w:rsidP="00000000" w:rsidRDefault="00000000" w:rsidRPr="00000000" w14:paraId="00000088">
            <w:pPr>
              <w:numPr>
                <w:ilvl w:val="0"/>
                <w:numId w:val="1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the faculty members authenticated by the Head of HEI </w:t>
            </w:r>
          </w:p>
          <w:p w:rsidR="00000000" w:rsidDel="00000000" w:rsidP="00000000" w:rsidRDefault="00000000" w:rsidRPr="00000000" w14:paraId="00000089">
            <w:pPr>
              <w:numPr>
                <w:ilvl w:val="0"/>
                <w:numId w:val="1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2.4.2</w:t>
            </w:r>
            <w:r w:rsidDel="00000000" w:rsidR="00000000" w:rsidRPr="00000000">
              <w:rPr>
                <w:rtl w:val="0"/>
              </w:rPr>
            </w:r>
          </w:p>
          <w:p w:rsidR="00000000" w:rsidDel="00000000" w:rsidP="00000000" w:rsidRDefault="00000000" w:rsidRPr="00000000" w14:paraId="0000008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full-time teachers with PhD/ D.M. / M.Ch. / D.N.B Super-Specialty /  DSc / D'Litt during the year:</w:t>
            </w:r>
            <w:r w:rsidDel="00000000" w:rsidR="00000000" w:rsidRPr="00000000">
              <w:rPr>
                <w:rtl w:val="0"/>
              </w:rPr>
            </w:r>
          </w:p>
          <w:tbl>
            <w:tblPr>
              <w:tblStyle w:val="Table11"/>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vAlign w:val="top"/>
                </w:tcPr>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9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2023-24</w:t>
                  </w:r>
                </w:p>
              </w:tc>
            </w:tr>
            <w:tr>
              <w:trPr>
                <w:cantSplit w:val="0"/>
                <w:tblHeader w:val="0"/>
              </w:trPr>
              <w:tc>
                <w:tcPr>
                  <w:vAlign w:val="top"/>
                </w:tcPr>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9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r>
          </w:tbl>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94">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full-time teachers with PhD/ D.M. / M.Ch. / D.N.B Super-Specialty / DSc / D'Litt.</w:t>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98">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number of full-time teachers with PhD./ D.M. / M.Ch. / D.N.B Super-Specialty / D.Sc. / D.Litt. and number of full-time teachers for 5 years</w:t>
            </w:r>
          </w:p>
          <w:p w:rsidR="00000000" w:rsidDel="00000000" w:rsidP="00000000" w:rsidRDefault="00000000" w:rsidRPr="00000000" w14:paraId="00000099">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 </w:t>
            </w:r>
          </w:p>
          <w:p w:rsidR="00000000" w:rsidDel="00000000" w:rsidP="00000000" w:rsidRDefault="00000000" w:rsidRPr="00000000" w14:paraId="0000009A">
            <w:pPr>
              <w:spacing w:line="240" w:lineRule="auto"/>
              <w:ind w:left="720" w:firstLine="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2.4.3</w:t>
            </w:r>
            <w:r w:rsidDel="00000000" w:rsidR="00000000" w:rsidRPr="00000000">
              <w:rPr>
                <w:rtl w:val="0"/>
              </w:rPr>
            </w:r>
          </w:p>
          <w:p w:rsidR="00000000" w:rsidDel="00000000" w:rsidP="00000000" w:rsidRDefault="00000000" w:rsidRPr="00000000" w14:paraId="0000009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Total teaching experience of full-time teachers in the same institution:</w:t>
            </w: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(Full-time teachers’ total teaching experience in the current institution</w:t>
            </w:r>
            <w:r w:rsidDel="00000000" w:rsidR="00000000" w:rsidRPr="00000000">
              <w:rPr>
                <w:rFonts w:ascii="Times New Roman" w:cs="Times New Roman" w:eastAsia="Times New Roman" w:hAnsi="Times New Roman"/>
                <w:sz w:val="24"/>
                <w:szCs w:val="24"/>
                <w:rtl w:val="0"/>
              </w:rPr>
              <w:t xml:space="preserve">)     </w:t>
            </w:r>
          </w:p>
          <w:tbl>
            <w:tblPr>
              <w:tblStyle w:val="Table12"/>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vAlign w:val="top"/>
                </w:tcPr>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A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2023-24</w:t>
                  </w:r>
                </w:p>
              </w:tc>
            </w:tr>
            <w:tr>
              <w:trPr>
                <w:cantSplit w:val="0"/>
                <w:tblHeader w:val="0"/>
              </w:trPr>
              <w:tc>
                <w:tcPr>
                  <w:vAlign w:val="top"/>
                </w:tcPr>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A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r>
                </w:p>
              </w:tc>
            </w:tr>
          </w:tbl>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0A6">
            <w:pPr>
              <w:numPr>
                <w:ilvl w:val="0"/>
                <w:numId w:val="2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and number of full-time teachers and their years of teaching experience in the institution</w:t>
            </w:r>
          </w:p>
          <w:p w:rsidR="00000000" w:rsidDel="00000000" w:rsidP="00000000" w:rsidRDefault="00000000" w:rsidRPr="00000000" w14:paraId="000000A7">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A9">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teachers including their PAN, designation, Department and details of their experience </w:t>
            </w:r>
          </w:p>
          <w:p w:rsidR="00000000" w:rsidDel="00000000" w:rsidP="00000000" w:rsidRDefault="00000000" w:rsidRPr="00000000" w14:paraId="000000AA">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 </w:t>
            </w:r>
          </w:p>
          <w:p w:rsidR="00000000" w:rsidDel="00000000" w:rsidP="00000000" w:rsidRDefault="00000000" w:rsidRPr="00000000" w14:paraId="000000AB">
            <w:pPr>
              <w:spacing w:line="240" w:lineRule="auto"/>
              <w:ind w:left="720" w:firstLine="0"/>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AC">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76"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13"/>
        <w:tblW w:w="93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
        <w:gridCol w:w="8295"/>
        <w:tblGridChange w:id="0">
          <w:tblGrid>
            <w:gridCol w:w="1035"/>
            <w:gridCol w:w="82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0AF">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- 2.5 Evaluation Process and Reforms</w:t>
            </w:r>
            <w:r w:rsidDel="00000000" w:rsidR="00000000" w:rsidRPr="00000000">
              <w:rPr>
                <w:rtl w:val="0"/>
              </w:rPr>
            </w:r>
          </w:p>
        </w:tc>
      </w:tr>
      <w:tr>
        <w:trPr>
          <w:cantSplit w:val="0"/>
          <w:trHeight w:val="55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2.5.1</w:t>
            </w:r>
            <w:r w:rsidDel="00000000" w:rsidR="00000000" w:rsidRPr="00000000">
              <w:rPr>
                <w:rtl w:val="0"/>
              </w:rPr>
            </w:r>
          </w:p>
          <w:p w:rsidR="00000000" w:rsidDel="00000000" w:rsidP="00000000" w:rsidRDefault="00000000" w:rsidRPr="00000000" w14:paraId="000000B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days from the date of last semester-end/ year- end examination till the declaration of results during the year</w:t>
            </w:r>
            <w:r w:rsidDel="00000000" w:rsidR="00000000" w:rsidRPr="00000000">
              <w:rPr>
                <w:rtl w:val="0"/>
              </w:rPr>
            </w:r>
          </w:p>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days from the date of last semester-end / year-end examination till the declaration of results year-wise during the year:</w:t>
            </w:r>
          </w:p>
          <w:tbl>
            <w:tblPr>
              <w:tblStyle w:val="Table14"/>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vAlign w:val="top"/>
                </w:tcPr>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B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2023-24</w:t>
                  </w:r>
                </w:p>
              </w:tc>
            </w:tr>
            <w:tr>
              <w:trPr>
                <w:cantSplit w:val="0"/>
                <w:tblHeader w:val="0"/>
              </w:trPr>
              <w:tc>
                <w:tcPr>
                  <w:vAlign w:val="top"/>
                </w:tcPr>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B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w:t>
                  </w:r>
                </w:p>
              </w:tc>
            </w:tr>
          </w:tbl>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BB">
            <w:pPr>
              <w:numPr>
                <w:ilvl w:val="0"/>
                <w:numId w:val="7"/>
              </w:numPr>
              <w:spacing w:line="240" w:lineRule="auto"/>
              <w:ind w:left="55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Semester-wise/ year-wise</w:t>
            </w:r>
          </w:p>
          <w:p w:rsidR="00000000" w:rsidDel="00000000" w:rsidP="00000000" w:rsidRDefault="00000000" w:rsidRPr="00000000" w14:paraId="000000BC">
            <w:pPr>
              <w:numPr>
                <w:ilvl w:val="0"/>
                <w:numId w:val="7"/>
              </w:numPr>
              <w:spacing w:line="240" w:lineRule="auto"/>
              <w:ind w:left="55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the last semester-end / year-end (for non-semester) examinations</w:t>
            </w:r>
          </w:p>
          <w:p w:rsidR="00000000" w:rsidDel="00000000" w:rsidP="00000000" w:rsidRDefault="00000000" w:rsidRPr="00000000" w14:paraId="000000BD">
            <w:pPr>
              <w:numPr>
                <w:ilvl w:val="0"/>
                <w:numId w:val="7"/>
              </w:numPr>
              <w:spacing w:line="240" w:lineRule="auto"/>
              <w:ind w:left="55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declaration of results of semester-end/ year-end examinations</w:t>
            </w:r>
          </w:p>
          <w:p w:rsidR="00000000" w:rsidDel="00000000" w:rsidP="00000000" w:rsidRDefault="00000000" w:rsidRPr="00000000" w14:paraId="000000BE">
            <w:pPr>
              <w:numPr>
                <w:ilvl w:val="0"/>
                <w:numId w:val="7"/>
              </w:numPr>
              <w:spacing w:line="240" w:lineRule="auto"/>
              <w:ind w:left="55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days taken for declaration of results for semester-end/ year-end examinations</w:t>
            </w:r>
          </w:p>
          <w:p w:rsidR="00000000" w:rsidDel="00000000" w:rsidP="00000000" w:rsidRDefault="00000000" w:rsidRPr="00000000" w14:paraId="000000BF">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C0">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C1">
            <w:pPr>
              <w:numPr>
                <w:ilvl w:val="0"/>
                <w:numId w:val="6"/>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Programmes and the date of last semester-end / year-end examinations and the date of declaration of result</w:t>
            </w:r>
          </w:p>
          <w:p w:rsidR="00000000" w:rsidDel="00000000" w:rsidP="00000000" w:rsidRDefault="00000000" w:rsidRPr="00000000" w14:paraId="000000C2">
            <w:pPr>
              <w:numPr>
                <w:ilvl w:val="0"/>
                <w:numId w:val="6"/>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tc>
      </w:tr>
      <w:tr>
        <w:trPr>
          <w:cantSplit w:val="0"/>
          <w:trHeight w:val="55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2.5.2</w:t>
            </w:r>
            <w:r w:rsidDel="00000000" w:rsidR="00000000" w:rsidRPr="00000000">
              <w:rPr>
                <w:rtl w:val="0"/>
              </w:rPr>
            </w:r>
          </w:p>
          <w:p w:rsidR="00000000" w:rsidDel="00000000" w:rsidP="00000000" w:rsidRDefault="00000000" w:rsidRPr="00000000" w14:paraId="000000C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students’ complaints/grievances against evaluation against the total number who appeared in the examinations during the year:</w:t>
            </w:r>
            <w:r w:rsidDel="00000000" w:rsidR="00000000" w:rsidRPr="00000000">
              <w:rPr>
                <w:rtl w:val="0"/>
              </w:rPr>
            </w:r>
          </w:p>
          <w:tbl>
            <w:tblPr>
              <w:tblStyle w:val="Table15"/>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vAlign w:val="top"/>
                </w:tcPr>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C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2023-24</w:t>
                  </w:r>
                </w:p>
              </w:tc>
            </w:tr>
            <w:tr>
              <w:trPr>
                <w:cantSplit w:val="0"/>
                <w:tblHeader w:val="0"/>
              </w:trPr>
              <w:tc>
                <w:tcPr>
                  <w:vAlign w:val="top"/>
                </w:tcPr>
                <w:p w:rsidR="00000000" w:rsidDel="00000000" w:rsidP="00000000" w:rsidRDefault="00000000" w:rsidRPr="00000000" w14:paraId="000000C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w:t>
                  </w:r>
                </w:p>
              </w:tc>
              <w:tc>
                <w:tcPr>
                  <w:vAlign w:val="top"/>
                </w:tcPr>
                <w:p w:rsidR="00000000" w:rsidDel="00000000" w:rsidP="00000000" w:rsidRDefault="00000000" w:rsidRPr="00000000" w14:paraId="000000CA">
                  <w:pPr>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CD">
            <w:pPr>
              <w:numPr>
                <w:ilvl w:val="0"/>
                <w:numId w:val="10"/>
              </w:numPr>
              <w:spacing w:line="240" w:lineRule="auto"/>
              <w:ind w:left="317" w:hanging="283"/>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Upload the number of complaints and total number of students who appeared for exams during the year</w:t>
            </w:r>
            <w:r w:rsidDel="00000000" w:rsidR="00000000" w:rsidRPr="00000000">
              <w:rPr>
                <w:rtl w:val="0"/>
              </w:rPr>
            </w:r>
          </w:p>
          <w:p w:rsidR="00000000" w:rsidDel="00000000" w:rsidP="00000000" w:rsidRDefault="00000000" w:rsidRPr="00000000" w14:paraId="000000CE">
            <w:pPr>
              <w:numPr>
                <w:ilvl w:val="0"/>
                <w:numId w:val="10"/>
              </w:numPr>
              <w:spacing w:line="240" w:lineRule="auto"/>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C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                                                                                                                                                                                                               </w:t>
            </w:r>
            <w:r w:rsidDel="00000000" w:rsidR="00000000" w:rsidRPr="00000000">
              <w:rPr>
                <w:rtl w:val="0"/>
              </w:rPr>
            </w:r>
          </w:p>
        </w:tc>
      </w:tr>
      <w:tr>
        <w:trPr>
          <w:cantSplit w:val="0"/>
          <w:trHeight w:val="288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2.5.3</w:t>
            </w:r>
            <w:r w:rsidDel="00000000" w:rsidR="00000000" w:rsidRPr="00000000">
              <w:rPr>
                <w:rtl w:val="0"/>
              </w:rPr>
            </w:r>
          </w:p>
          <w:p w:rsidR="00000000" w:rsidDel="00000000" w:rsidP="00000000" w:rsidRDefault="00000000" w:rsidRPr="00000000" w14:paraId="000000D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IT integration and reforms in the examination procedures and processes including Continuous Internal Assessment (CIA) have brought in considerable improvement in the Examination Management System (EMS) of the Institution:</w:t>
            </w: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examination reforms with reference to the following within a minimum of 200 words </w:t>
            </w:r>
          </w:p>
          <w:p w:rsidR="00000000" w:rsidDel="00000000" w:rsidP="00000000" w:rsidRDefault="00000000" w:rsidRPr="00000000" w14:paraId="000000D5">
            <w:pPr>
              <w:numPr>
                <w:ilvl w:val="0"/>
                <w:numId w:val="20"/>
              </w:numPr>
              <w:spacing w:after="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Processes integrating IT</w:t>
            </w:r>
            <w:r w:rsidDel="00000000" w:rsidR="00000000" w:rsidRPr="00000000">
              <w:rPr>
                <w:rFonts w:ascii="Times New Roman" w:cs="Times New Roman" w:eastAsia="Times New Roman" w:hAnsi="Times New Roman"/>
                <w:sz w:val="24"/>
                <w:szCs w:val="24"/>
                <w:rtl w:val="0"/>
              </w:rPr>
              <w:t xml:space="preserve">: The examination system is implemented with ReSo examination software. It caters to all requirements of pre and post examination activities like creating student profile, result preparation and  grade card &amp; passing certificate printing. The centralized IT enabled paper setting system is followed to maintain a high level of secrecy in question paper setting work for Semester End Examination.</w:t>
            </w:r>
            <w:r w:rsidDel="00000000" w:rsidR="00000000" w:rsidRPr="00000000">
              <w:rPr>
                <w:rtl w:val="0"/>
              </w:rPr>
            </w:r>
          </w:p>
          <w:p w:rsidR="00000000" w:rsidDel="00000000" w:rsidP="00000000" w:rsidRDefault="00000000" w:rsidRPr="00000000" w14:paraId="000000D6">
            <w:pPr>
              <w:numPr>
                <w:ilvl w:val="0"/>
                <w:numId w:val="20"/>
              </w:numPr>
              <w:spacing w:before="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Continuous internal assessment system</w:t>
            </w:r>
            <w:r w:rsidDel="00000000" w:rsidR="00000000" w:rsidRPr="00000000">
              <w:rPr>
                <w:rFonts w:ascii="Times New Roman" w:cs="Times New Roman" w:eastAsia="Times New Roman" w:hAnsi="Times New Roman"/>
                <w:sz w:val="24"/>
                <w:szCs w:val="24"/>
                <w:rtl w:val="0"/>
              </w:rPr>
              <w:t xml:space="preserve">: Under autonomy, the college implemented a continuous evaluation system for all Undergraduate and Postgraduate programmes. It included formative assessment (40 Marks) and Summative assessment (60 Marks). The formative assessment consisted of two internal tests (Multiple choice questions/Assignment/Open book test/Project, etc) of 20 marks each.</w:t>
            </w:r>
            <w:r w:rsidDel="00000000" w:rsidR="00000000" w:rsidRPr="00000000">
              <w:rPr>
                <w:rtl w:val="0"/>
              </w:rPr>
            </w:r>
          </w:p>
          <w:p w:rsidR="00000000" w:rsidDel="00000000" w:rsidP="00000000" w:rsidRDefault="00000000" w:rsidRPr="00000000" w14:paraId="000000D7">
            <w:pPr>
              <w:spacing w:befor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procedures</w:t>
            </w:r>
          </w:p>
          <w:p w:rsidR="00000000" w:rsidDel="00000000" w:rsidP="00000000" w:rsidRDefault="00000000" w:rsidRPr="00000000" w14:paraId="000000D9">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Processes/Procedures integrating IT</w:t>
            </w:r>
          </w:p>
          <w:p w:rsidR="00000000" w:rsidDel="00000000" w:rsidP="00000000" w:rsidRDefault="00000000" w:rsidRPr="00000000" w14:paraId="000000DA">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Continuous Internal Assessment System </w:t>
            </w:r>
          </w:p>
          <w:p w:rsidR="00000000" w:rsidDel="00000000" w:rsidP="00000000" w:rsidRDefault="00000000" w:rsidRPr="00000000" w14:paraId="000000DB">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DC">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DD">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tc>
      </w:tr>
    </w:tbl>
    <w:p w:rsidR="00000000" w:rsidDel="00000000" w:rsidP="00000000" w:rsidRDefault="00000000" w:rsidRPr="00000000" w14:paraId="000000D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spacing w:line="276" w:lineRule="auto"/>
        <w:rPr>
          <w:rFonts w:ascii="Times New Roman" w:cs="Times New Roman" w:eastAsia="Times New Roman" w:hAnsi="Times New Roman"/>
        </w:rPr>
      </w:pPr>
      <w:r w:rsidDel="00000000" w:rsidR="00000000" w:rsidRPr="00000000">
        <w:rPr>
          <w:rtl w:val="0"/>
        </w:rPr>
      </w:r>
    </w:p>
    <w:tbl>
      <w:tblPr>
        <w:tblStyle w:val="Table16"/>
        <w:tblW w:w="930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5"/>
        <w:gridCol w:w="8475"/>
        <w:tblGridChange w:id="0">
          <w:tblGrid>
            <w:gridCol w:w="825"/>
            <w:gridCol w:w="84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- 2.6 Student Performance and Learning Outcomes</w:t>
            </w:r>
            <w:r w:rsidDel="00000000" w:rsidR="00000000" w:rsidRPr="00000000">
              <w:rPr>
                <w:rtl w:val="0"/>
              </w:rPr>
            </w:r>
          </w:p>
        </w:tc>
      </w:tr>
      <w:tr>
        <w:trPr>
          <w:cantSplit w:val="0"/>
          <w:trHeight w:val="8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2.6.1</w:t>
            </w:r>
            <w:r w:rsidDel="00000000" w:rsidR="00000000" w:rsidRPr="00000000">
              <w:rPr>
                <w:rtl w:val="0"/>
              </w:rPr>
            </w:r>
          </w:p>
          <w:p w:rsidR="00000000" w:rsidDel="00000000" w:rsidP="00000000" w:rsidRDefault="00000000" w:rsidRPr="00000000" w14:paraId="000000E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Programme Outcomes and Course Outcomes for all Programmes offered by the institution are stated and displayed on the website and communicated to teachers and students:</w:t>
            </w:r>
            <w:r w:rsidDel="00000000" w:rsidR="00000000" w:rsidRPr="00000000">
              <w:rPr>
                <w:rtl w:val="0"/>
              </w:rPr>
            </w:r>
          </w:p>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Course Outcomes (COs) for all courses and the mechanism of communication to teachers and students within a maximum of 200 words.  </w:t>
            </w:r>
          </w:p>
          <w:p w:rsidR="00000000" w:rsidDel="00000000" w:rsidP="00000000" w:rsidRDefault="00000000" w:rsidRPr="00000000" w14:paraId="000000E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 and Course outcomes for all the programmes offered by college are properly framed and displayed on the college website. For every subject, in the beginning of the first year, an induction programme is conducted and students are briefed about programme outcomes and course outcomes.</w:t>
            </w:r>
          </w:p>
          <w:p w:rsidR="00000000" w:rsidDel="00000000" w:rsidP="00000000" w:rsidRDefault="00000000" w:rsidRPr="00000000" w14:paraId="000000E9">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COs for all Courses (you may refer to the exemplars in the Glossary)</w:t>
            </w:r>
          </w:p>
          <w:p w:rsidR="00000000" w:rsidDel="00000000" w:rsidP="00000000" w:rsidRDefault="00000000" w:rsidRPr="00000000" w14:paraId="000000EA">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EB">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COs for all courses (exemplars from the Glossary)</w:t>
            </w:r>
          </w:p>
          <w:p w:rsidR="00000000" w:rsidDel="00000000" w:rsidP="00000000" w:rsidRDefault="00000000" w:rsidRPr="00000000" w14:paraId="000000EC">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ED">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for additional Information</w:t>
            </w:r>
          </w:p>
        </w:tc>
      </w:tr>
      <w:tr>
        <w:trPr>
          <w:cantSplit w:val="0"/>
          <w:trHeight w:val="229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2.6.2</w:t>
            </w:r>
            <w:r w:rsidDel="00000000" w:rsidR="00000000" w:rsidRPr="00000000">
              <w:rPr>
                <w:rtl w:val="0"/>
              </w:rPr>
            </w:r>
          </w:p>
          <w:p w:rsidR="00000000" w:rsidDel="00000000" w:rsidP="00000000" w:rsidRDefault="00000000" w:rsidRPr="00000000" w14:paraId="000000E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Attainment of Programme Outcomes and Course Outcomes as evaluated by the institution:</w:t>
            </w:r>
            <w:r w:rsidDel="00000000" w:rsidR="00000000" w:rsidRPr="00000000">
              <w:rPr>
                <w:rtl w:val="0"/>
              </w:rPr>
            </w:r>
          </w:p>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method of measuring the attainment of POs, PSOs and COs and the level of attainment of POs , PSOs and COs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not more than 200 words.</w:t>
            </w:r>
          </w:p>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Institutions check the level of attainment of Programme outcomes and course outcomes for all the undergraduate and postgraduate programmes in order to understand the gap between what is taught and what is understood by the students. Attainment of Course outcomes: Course outcomes is measured by summing up the marks scored by the students for a particular course and dividing the same by the number of students who appeared for the examination of that particular course. For the courses, where formative assessment is a part of prescribed curriculum of the course, marks scored by the students in formative as well as summative assessment are taken together to calculate the marks scored by the students in that respective course. Attainment of Programme Outcomes: Programme outcomes is measured by summing up the Course outcomes of all the courses offered at the final year (in semester V &amp; VI for UG &amp; Semester III &amp; IV of PG) divided by total number of courses offered at the final year of that particular programme.</w:t>
            </w:r>
          </w:p>
          <w:p w:rsidR="00000000" w:rsidDel="00000000" w:rsidP="00000000" w:rsidRDefault="00000000" w:rsidRPr="00000000" w14:paraId="000000F5">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F6">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F7">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tc>
      </w:tr>
      <w:tr>
        <w:trPr>
          <w:cantSplit w:val="0"/>
          <w:trHeight w:val="310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2.6.3</w:t>
            </w:r>
            <w:r w:rsidDel="00000000" w:rsidR="00000000" w:rsidRPr="00000000">
              <w:rPr>
                <w:rtl w:val="0"/>
              </w:rPr>
            </w:r>
          </w:p>
          <w:p w:rsidR="00000000" w:rsidDel="00000000" w:rsidP="00000000" w:rsidRDefault="00000000" w:rsidRPr="00000000" w14:paraId="000000F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Pass Percentage of students:</w:t>
            </w: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2.6.3.1:</w:t>
            </w:r>
            <w:r w:rsidDel="00000000" w:rsidR="00000000" w:rsidRPr="00000000">
              <w:rPr>
                <w:rFonts w:ascii="Times New Roman" w:cs="Times New Roman" w:eastAsia="Times New Roman" w:hAnsi="Times New Roman"/>
                <w:sz w:val="24"/>
                <w:szCs w:val="24"/>
                <w:rtl w:val="0"/>
              </w:rPr>
              <w:t xml:space="preserve"> Total number of final year students who passed in the examinations conducted by Institution:</w:t>
            </w:r>
          </w:p>
          <w:tbl>
            <w:tblPr>
              <w:tblStyle w:val="Table17"/>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vAlign w:val="top"/>
                </w:tcPr>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F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2023-24</w:t>
                  </w:r>
                </w:p>
              </w:tc>
            </w:tr>
            <w:tr>
              <w:trPr>
                <w:cantSplit w:val="0"/>
                <w:tblHeader w:val="0"/>
              </w:trPr>
              <w:tc>
                <w:tcPr>
                  <w:vAlign w:val="top"/>
                </w:tcPr>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100">
                  <w:pPr>
                    <w:spacing w:line="240" w:lineRule="auto"/>
                    <w:rPr>
                      <w:rFonts w:ascii="Times New Roman" w:cs="Times New Roman" w:eastAsia="Times New Roman" w:hAnsi="Times New Roman"/>
                      <w:b w:val="1"/>
                      <w:sz w:val="24"/>
                      <w:szCs w:val="24"/>
                    </w:rPr>
                  </w:pPr>
                  <w:r w:rsidDel="00000000" w:rsidR="00000000" w:rsidRPr="00000000">
                    <w:rPr>
                      <w:rFonts w:ascii="Calibri" w:cs="Calibri" w:eastAsia="Calibri" w:hAnsi="Calibri"/>
                      <w:b w:val="1"/>
                      <w:rtl w:val="0"/>
                    </w:rPr>
                    <w:t xml:space="preserve">1049</w:t>
                  </w:r>
                  <w:r w:rsidDel="00000000" w:rsidR="00000000" w:rsidRPr="00000000">
                    <w:rPr>
                      <w:rtl w:val="0"/>
                    </w:rPr>
                  </w:r>
                </w:p>
              </w:tc>
            </w:tr>
          </w:tbl>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2.6.3.2:</w:t>
            </w:r>
            <w:r w:rsidDel="00000000" w:rsidR="00000000" w:rsidRPr="00000000">
              <w:rPr>
                <w:rFonts w:ascii="Times New Roman" w:cs="Times New Roman" w:eastAsia="Times New Roman" w:hAnsi="Times New Roman"/>
                <w:sz w:val="24"/>
                <w:szCs w:val="24"/>
                <w:rtl w:val="0"/>
              </w:rPr>
              <w:t xml:space="preserve"> Total number of final year students who appeared for the examinations</w:t>
            </w:r>
          </w:p>
          <w:tbl>
            <w:tblPr>
              <w:tblStyle w:val="Table18"/>
              <w:tblW w:w="3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620"/>
              <w:tblGridChange w:id="0">
                <w:tblGrid>
                  <w:gridCol w:w="1458"/>
                  <w:gridCol w:w="1620"/>
                </w:tblGrid>
              </w:tblGridChange>
            </w:tblGrid>
            <w:tr>
              <w:trPr>
                <w:cantSplit w:val="0"/>
                <w:tblHeader w:val="0"/>
              </w:trPr>
              <w:tc>
                <w:tcPr>
                  <w:vAlign w:val="top"/>
                </w:tcPr>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10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2023-24</w:t>
                  </w:r>
                </w:p>
              </w:tc>
            </w:tr>
            <w:tr>
              <w:trPr>
                <w:cantSplit w:val="0"/>
                <w:tblHeader w:val="0"/>
              </w:trPr>
              <w:tc>
                <w:tcPr>
                  <w:vAlign w:val="top"/>
                </w:tcPr>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106">
                  <w:pPr>
                    <w:spacing w:line="240" w:lineRule="auto"/>
                    <w:rPr>
                      <w:rFonts w:ascii="Times New Roman" w:cs="Times New Roman" w:eastAsia="Times New Roman" w:hAnsi="Times New Roman"/>
                      <w:b w:val="1"/>
                      <w:sz w:val="24"/>
                      <w:szCs w:val="24"/>
                    </w:rPr>
                  </w:pPr>
                  <w:r w:rsidDel="00000000" w:rsidR="00000000" w:rsidRPr="00000000">
                    <w:rPr>
                      <w:b w:val="1"/>
                      <w:sz w:val="20"/>
                      <w:szCs w:val="20"/>
                      <w:rtl w:val="0"/>
                    </w:rPr>
                    <w:t xml:space="preserve">1167</w:t>
                  </w:r>
                  <w:r w:rsidDel="00000000" w:rsidR="00000000" w:rsidRPr="00000000">
                    <w:rPr>
                      <w:rtl w:val="0"/>
                    </w:rPr>
                  </w:r>
                </w:p>
              </w:tc>
            </w:tr>
          </w:tbl>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109">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 Code</w:t>
            </w:r>
          </w:p>
          <w:p w:rsidR="00000000" w:rsidDel="00000000" w:rsidP="00000000" w:rsidRDefault="00000000" w:rsidRPr="00000000" w14:paraId="0000010A">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Programme</w:t>
            </w:r>
          </w:p>
          <w:p w:rsidR="00000000" w:rsidDel="00000000" w:rsidP="00000000" w:rsidRDefault="00000000" w:rsidRPr="00000000" w14:paraId="0000010B">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students who appeared </w:t>
            </w:r>
          </w:p>
          <w:p w:rsidR="00000000" w:rsidDel="00000000" w:rsidP="00000000" w:rsidRDefault="00000000" w:rsidRPr="00000000" w14:paraId="0000010C">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students who passed </w:t>
            </w:r>
          </w:p>
          <w:p w:rsidR="00000000" w:rsidDel="00000000" w:rsidP="00000000" w:rsidRDefault="00000000" w:rsidRPr="00000000" w14:paraId="0000010D">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 percentage</w:t>
            </w:r>
          </w:p>
          <w:p w:rsidR="00000000" w:rsidDel="00000000" w:rsidP="00000000" w:rsidRDefault="00000000" w:rsidRPr="00000000" w14:paraId="0000010E">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1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110">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list of Programmes and number of students appear for and passed in the final year examinations</w:t>
            </w:r>
          </w:p>
          <w:p w:rsidR="00000000" w:rsidDel="00000000" w:rsidP="00000000" w:rsidRDefault="00000000" w:rsidRPr="00000000" w14:paraId="00000111">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112">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the annual report</w:t>
            </w:r>
          </w:p>
        </w:tc>
      </w:tr>
    </w:tbl>
    <w:p w:rsidR="00000000" w:rsidDel="00000000" w:rsidP="00000000" w:rsidRDefault="00000000" w:rsidRPr="00000000" w14:paraId="00000113">
      <w:pPr>
        <w:spacing w:after="200" w:line="276" w:lineRule="auto"/>
        <w:rPr>
          <w:rFonts w:ascii="Calibri" w:cs="Calibri" w:eastAsia="Calibri" w:hAnsi="Calibri"/>
        </w:rPr>
      </w:pPr>
      <w:r w:rsidDel="00000000" w:rsidR="00000000" w:rsidRPr="00000000">
        <w:br w:type="page"/>
      </w:r>
      <w:r w:rsidDel="00000000" w:rsidR="00000000" w:rsidRPr="00000000">
        <w:rPr>
          <w:rtl w:val="0"/>
        </w:rPr>
      </w:r>
    </w:p>
    <w:tbl>
      <w:tblPr>
        <w:tblStyle w:val="Table19"/>
        <w:tblW w:w="9342.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8363"/>
        <w:tblGridChange w:id="0">
          <w:tblGrid>
            <w:gridCol w:w="979"/>
            <w:gridCol w:w="83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115">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- 2.7 Student Satisfaction Survey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2.7.1</w:t>
            </w:r>
            <w:r w:rsidDel="00000000" w:rsidR="00000000" w:rsidRPr="00000000">
              <w:rPr>
                <w:rtl w:val="0"/>
              </w:rPr>
            </w:r>
          </w:p>
          <w:p w:rsidR="00000000" w:rsidDel="00000000" w:rsidP="00000000" w:rsidRDefault="00000000" w:rsidRPr="00000000" w14:paraId="00000118">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Student Satisfaction Survey (SSS) on overall institutional performance (Institution may design its own questionnaire). Results and details need to be provided as a weblink:</w:t>
            </w:r>
            <w:r w:rsidDel="00000000" w:rsidR="00000000" w:rsidRPr="00000000">
              <w:rPr>
                <w:rtl w:val="0"/>
              </w:rPr>
            </w:r>
          </w:p>
          <w:p w:rsidR="00000000" w:rsidDel="00000000" w:rsidP="00000000" w:rsidRDefault="00000000" w:rsidRPr="00000000" w14:paraId="0000011B">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C">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D">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E">
      <w:pP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CeI+vCNKbGw0kVNemtOEWxgjuw==">CgMxLjA4AHIhMXk0Q1dMbDdlN0pvdFl4amRvTjJ5R3pvV25iUXREZ1Zv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