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Key Indicator – 4.3 IT Infrastructure</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4.3.1 </w:t>
      </w:r>
      <w:r w:rsidDel="00000000" w:rsidR="00000000" w:rsidRPr="00000000">
        <w:rPr>
          <w:rFonts w:ascii="Times New Roman" w:cs="Times New Roman" w:eastAsia="Times New Roman" w:hAnsi="Times New Roman"/>
          <w:b w:val="1"/>
          <w:i w:val="1"/>
          <w:sz w:val="24"/>
          <w:szCs w:val="24"/>
          <w:rtl w:val="0"/>
        </w:rPr>
        <w:t xml:space="preserve">Institution has an IT policy covering Wi-Fi, cyber security, etc. and has allocated budget for updating its IT facilities: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IT facilities including Wi-Fi with date and nature of updation within a maximum of 200 words</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7 Wi-Fi connections are installed on 15/11/2022 , 6 internet Connections with speed approx. 100 MBPS /connection (From 2012) 1 firewall(300user) , 1 main server (Dell T440, 2 Xeon silver 8 core processor 2.50 GHZ , 94GB RAM &amp; 18 TB HDD) 1 Idle Server in Library( HP core i5 3rd Generation , 8 GB RAM, 1 TB HDD) </w:t>
      </w:r>
      <w:r w:rsidDel="00000000" w:rsidR="00000000" w:rsidRPr="00000000">
        <w:rPr>
          <w:rFonts w:ascii="Times New Roman" w:cs="Times New Roman" w:eastAsia="Times New Roman" w:hAnsi="Times New Roman"/>
          <w:sz w:val="24"/>
          <w:szCs w:val="24"/>
          <w:highlight w:val="yellow"/>
          <w:rtl w:val="0"/>
        </w:rPr>
        <w:t xml:space="preserve">160+ CCTV Cameras</w:t>
      </w:r>
      <w:r w:rsidDel="00000000" w:rsidR="00000000" w:rsidRPr="00000000">
        <w:rPr>
          <w:rFonts w:ascii="Times New Roman" w:cs="Times New Roman" w:eastAsia="Times New Roman" w:hAnsi="Times New Roman"/>
          <w:sz w:val="24"/>
          <w:szCs w:val="24"/>
          <w:rtl w:val="0"/>
        </w:rPr>
        <w:t xml:space="preserve"> , 32 Switch junctions (24 Ports GBPS) Server room contains UTM (Security) T2M100 that tracks activities on all machines available on campus. Speed can be increased or decreased as per need using UTM. Load balancing can be done using this. It acts as a firewall for incoming data through the network. Manageable switches are available to increase ranges of IP and Mac addresses. Microsoft V3 campus agreement (Each software package available under the MSCA can be purchased only once). Red Hat Linux agreement , Tally gold Licence (TS9) Security Seqrite  Antivirus Licence - Antivirus is regularly updated on a quarterly basis</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