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Criterion VI – Governance, Leadership and Management</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14"/>
          <w:szCs w:val="14"/>
        </w:rPr>
      </w:pPr>
      <w:r w:rsidDel="00000000" w:rsidR="00000000" w:rsidRPr="00000000">
        <w:rPr>
          <w:rtl w:val="0"/>
        </w:rPr>
      </w:r>
    </w:p>
    <w:tbl>
      <w:tblPr>
        <w:tblStyle w:val="Table1"/>
        <w:tblW w:w="9484.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505"/>
        <w:tblGridChange w:id="0">
          <w:tblGrid>
            <w:gridCol w:w="979"/>
            <w:gridCol w:w="8505"/>
          </w:tblGrid>
        </w:tblGridChange>
      </w:tblGrid>
      <w:tr>
        <w:trPr>
          <w:cantSplit w:val="0"/>
          <w:tblHeader w:val="0"/>
        </w:trPr>
        <w:tc>
          <w:tcPr/>
          <w:p w:rsidR="00000000" w:rsidDel="00000000" w:rsidP="00000000" w:rsidRDefault="00000000" w:rsidRPr="00000000" w14:paraId="00000003">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04">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- 6.1 Institutional Vision and Leadership</w:t>
            </w:r>
            <w:r w:rsidDel="00000000" w:rsidR="00000000" w:rsidRPr="00000000">
              <w:rPr>
                <w:rtl w:val="0"/>
              </w:rPr>
            </w:r>
          </w:p>
        </w:tc>
      </w:tr>
      <w:tr>
        <w:trPr>
          <w:cantSplit w:val="0"/>
          <w:trHeight w:val="1603" w:hRule="atLeast"/>
          <w:tblHeader w:val="0"/>
        </w:trPr>
        <w:tc>
          <w:tcPr>
            <w:vAlign w:val="top"/>
          </w:tcPr>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6.1.1</w:t>
            </w: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governance of the institution is reflective of an effective leadership in tune with the vision and mission of the Institution:</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vision and mission of the institution with regard to governance, perspective plans and participation of the teachers in the decision-making bodies of the institution (within a maximum of 200 words). </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statement of the college is ‘ Tamso Ma Jyotirgamaya ‘ so keeping in mind the  vision and mission of the college the perspective plan of the institution the perspective plan of the institution has been prepared by the college management. After getting autonomous status college has got the academic freedom , which is necessary to work effectively on different aspects of the mission to accomplish the vision. Being autonomous the decisions are taken either at the level of Governing council or Academic Council as per their jurisdiction. Adequate representation is given to the teachers in both the council and their opinions are sought for the process of decision making. The final authority that wets the decision is Chairman in case of Governing Council and Principal in Academic Council. The arrangements to communicate decisions to the students and staff is done through notice board, printed handouts, college prospectus, and the college website. Keeping in mind vision of the institution, college has successfully accomplished:</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Inculcating learner centric and effective teaching learning process.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Transparency and credibility in the process of students’ evaluation;</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comprehensive system of student mentoring and student support;</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4.Launching value added and skills development programmes improving the employability of students in accordance with NEP-2020.</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5.Motivating students for self-employment and to enable them to emerge as entrepreneurs through teaching, training and internship.</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13">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4">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http://kvpendharkarcollege.org/AboutUs_Pages/vision_mission.aspx</w:t>
              </w:r>
            </w:hyperlink>
            <w:r w:rsidDel="00000000" w:rsidR="00000000" w:rsidRPr="00000000">
              <w:rPr>
                <w:rtl w:val="0"/>
              </w:rPr>
            </w:r>
          </w:p>
          <w:p w:rsidR="00000000" w:rsidDel="00000000" w:rsidP="00000000" w:rsidRDefault="00000000" w:rsidRPr="00000000" w14:paraId="0000001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6.1.2</w:t>
            </w: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Effective leadership is reflected in various institutional practices such as decentralization and participative management:</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 case study highlighting decentralization and participative management in the institution in not more than 200 words.</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20">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strategic plan and deployment documents on the website</w:t>
            </w:r>
          </w:p>
          <w:p w:rsidR="00000000" w:rsidDel="00000000" w:rsidP="00000000" w:rsidRDefault="00000000" w:rsidRPr="00000000" w14:paraId="00000021">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22">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tbl>
      <w:tblPr>
        <w:tblStyle w:val="Table2"/>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blHeader w:val="0"/>
        </w:trPr>
        <w:tc>
          <w:tcPr/>
          <w:p w:rsidR="00000000" w:rsidDel="00000000" w:rsidP="00000000" w:rsidRDefault="00000000" w:rsidRPr="00000000" w14:paraId="00000025">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w:t>
            </w:r>
            <w:r w:rsidDel="00000000" w:rsidR="00000000" w:rsidRPr="00000000">
              <w:rPr>
                <w:rtl w:val="0"/>
              </w:rPr>
            </w:r>
          </w:p>
          <w:p w:rsidR="00000000" w:rsidDel="00000000" w:rsidP="00000000" w:rsidRDefault="00000000" w:rsidRPr="00000000" w14:paraId="00000026">
            <w:pPr>
              <w:spacing w:line="240" w:lineRule="auto"/>
              <w:ind w:left="-122"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No</w:t>
            </w:r>
            <w:r w:rsidDel="00000000" w:rsidR="00000000" w:rsidRPr="00000000">
              <w:rPr>
                <w:rtl w:val="0"/>
              </w:rPr>
            </w:r>
          </w:p>
        </w:tc>
        <w:tc>
          <w:tcPr>
            <w:vAlign w:val="top"/>
          </w:tcPr>
          <w:p w:rsidR="00000000" w:rsidDel="00000000" w:rsidP="00000000" w:rsidRDefault="00000000" w:rsidRPr="00000000" w14:paraId="00000027">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- 6.2 Strategy Development and Deployment</w:t>
            </w:r>
            <w:r w:rsidDel="00000000" w:rsidR="00000000" w:rsidRPr="00000000">
              <w:rPr>
                <w:rtl w:val="0"/>
              </w:rPr>
            </w:r>
          </w:p>
        </w:tc>
      </w:tr>
      <w:tr>
        <w:trPr>
          <w:cantSplit w:val="0"/>
          <w:trHeight w:val="2694" w:hRule="atLeast"/>
          <w:tblHeader w:val="0"/>
        </w:trPr>
        <w:tc>
          <w:tcPr>
            <w:vAlign w:val="top"/>
          </w:tcPr>
          <w:p w:rsidR="00000000" w:rsidDel="00000000" w:rsidP="00000000" w:rsidRDefault="00000000" w:rsidRPr="00000000" w14:paraId="000000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6.2.1</w:t>
            </w: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institutional Strategic/ Perspective plan has been clearly articulated and implemented.</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any one activity/practice successfully implemented based on the institution’s strategic plan (within a maximum of 200 words).</w:t>
            </w:r>
          </w:p>
          <w:p w:rsidR="00000000" w:rsidDel="00000000" w:rsidP="00000000" w:rsidRDefault="00000000" w:rsidRPr="00000000" w14:paraId="0000002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2E">
            <w:pPr>
              <w:numPr>
                <w:ilvl w:val="0"/>
                <w:numId w:val="1"/>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Plan and deployment documents on the website</w:t>
            </w:r>
          </w:p>
          <w:p w:rsidR="00000000" w:rsidDel="00000000" w:rsidP="00000000" w:rsidRDefault="00000000" w:rsidRPr="00000000" w14:paraId="0000002F">
            <w:pPr>
              <w:numPr>
                <w:ilvl w:val="0"/>
                <w:numId w:val="1"/>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tc>
      </w:tr>
      <w:tr>
        <w:trPr>
          <w:cantSplit w:val="0"/>
          <w:trHeight w:val="1390" w:hRule="atLeast"/>
          <w:tblHeader w:val="0"/>
        </w:trPr>
        <w:tc>
          <w:tcPr>
            <w:vAlign w:val="top"/>
          </w:tcPr>
          <w:p w:rsidR="00000000" w:rsidDel="00000000" w:rsidP="00000000" w:rsidRDefault="00000000" w:rsidRPr="00000000" w14:paraId="000000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6.2.2</w:t>
            </w: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functioning of the various institutional bodies is effective and efficient as visible from the policies, administrative set-up, appointment and service rules, procedures, etc. </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Organogram of the institution and describe its structure (within a maximum of 200 words). </w:t>
            </w:r>
          </w:p>
          <w:p w:rsidR="00000000" w:rsidDel="00000000" w:rsidP="00000000" w:rsidRDefault="00000000" w:rsidRPr="00000000" w14:paraId="0000003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37">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to Organogram on the institution webpage</w:t>
            </w:r>
          </w:p>
          <w:p w:rsidR="00000000" w:rsidDel="00000000" w:rsidP="00000000" w:rsidRDefault="00000000" w:rsidRPr="00000000" w14:paraId="00000038">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39">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565" w:hRule="atLeast"/>
          <w:tblHeader w:val="0"/>
        </w:trPr>
        <w:tc>
          <w:tcPr>
            <w:vAlign w:val="top"/>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6.2.3</w:t>
            </w: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Implementation of e-governance in areas of operation:</w:t>
            </w:r>
            <w:r w:rsidDel="00000000" w:rsidR="00000000" w:rsidRPr="00000000">
              <w:rPr>
                <w:rtl w:val="0"/>
              </w:rPr>
            </w:r>
          </w:p>
          <w:p w:rsidR="00000000" w:rsidDel="00000000" w:rsidP="00000000" w:rsidRDefault="00000000" w:rsidRPr="00000000" w14:paraId="0000003F">
            <w:pPr>
              <w:numPr>
                <w:ilvl w:val="0"/>
                <w:numId w:val="4"/>
              </w:numPr>
              <w:spacing w:line="240" w:lineRule="auto"/>
              <w:ind w:left="47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Administration</w:t>
            </w:r>
            <w:r w:rsidDel="00000000" w:rsidR="00000000" w:rsidRPr="00000000">
              <w:rPr>
                <w:rtl w:val="0"/>
              </w:rPr>
            </w:r>
          </w:p>
          <w:p w:rsidR="00000000" w:rsidDel="00000000" w:rsidP="00000000" w:rsidRDefault="00000000" w:rsidRPr="00000000" w14:paraId="00000040">
            <w:pPr>
              <w:numPr>
                <w:ilvl w:val="0"/>
                <w:numId w:val="4"/>
              </w:numPr>
              <w:spacing w:line="240" w:lineRule="auto"/>
              <w:ind w:left="47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Finance and Accounts</w:t>
            </w:r>
            <w:r w:rsidDel="00000000" w:rsidR="00000000" w:rsidRPr="00000000">
              <w:rPr>
                <w:rtl w:val="0"/>
              </w:rPr>
            </w:r>
          </w:p>
          <w:p w:rsidR="00000000" w:rsidDel="00000000" w:rsidP="00000000" w:rsidRDefault="00000000" w:rsidRPr="00000000" w14:paraId="00000041">
            <w:pPr>
              <w:numPr>
                <w:ilvl w:val="0"/>
                <w:numId w:val="4"/>
              </w:numPr>
              <w:spacing w:line="240" w:lineRule="auto"/>
              <w:ind w:left="47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 Admission and Support</w:t>
            </w:r>
            <w:r w:rsidDel="00000000" w:rsidR="00000000" w:rsidRPr="00000000">
              <w:rPr>
                <w:rtl w:val="0"/>
              </w:rPr>
            </w:r>
          </w:p>
          <w:p w:rsidR="00000000" w:rsidDel="00000000" w:rsidP="00000000" w:rsidRDefault="00000000" w:rsidRPr="00000000" w14:paraId="00000042">
            <w:pPr>
              <w:numPr>
                <w:ilvl w:val="0"/>
                <w:numId w:val="4"/>
              </w:numPr>
              <w:spacing w:line="240" w:lineRule="auto"/>
              <w:ind w:left="47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Examination</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44">
            <w:pPr>
              <w:numPr>
                <w:ilvl w:val="0"/>
                <w:numId w:val="12"/>
              </w:numPr>
              <w:spacing w:line="240" w:lineRule="auto"/>
              <w:ind w:left="7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above</w:t>
            </w:r>
          </w:p>
          <w:p w:rsidR="00000000" w:rsidDel="00000000" w:rsidP="00000000" w:rsidRDefault="00000000" w:rsidRPr="00000000" w14:paraId="00000045">
            <w:pPr>
              <w:numPr>
                <w:ilvl w:val="0"/>
                <w:numId w:val="12"/>
              </w:numPr>
              <w:spacing w:line="240" w:lineRule="auto"/>
              <w:ind w:left="7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three of the above</w:t>
            </w:r>
          </w:p>
          <w:p w:rsidR="00000000" w:rsidDel="00000000" w:rsidP="00000000" w:rsidRDefault="00000000" w:rsidRPr="00000000" w14:paraId="00000046">
            <w:pPr>
              <w:numPr>
                <w:ilvl w:val="0"/>
                <w:numId w:val="12"/>
              </w:numPr>
              <w:spacing w:line="240" w:lineRule="auto"/>
              <w:ind w:left="7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two of the above</w:t>
            </w:r>
          </w:p>
          <w:p w:rsidR="00000000" w:rsidDel="00000000" w:rsidP="00000000" w:rsidRDefault="00000000" w:rsidRPr="00000000" w14:paraId="00000047">
            <w:pPr>
              <w:numPr>
                <w:ilvl w:val="0"/>
                <w:numId w:val="12"/>
              </w:numPr>
              <w:spacing w:line="240" w:lineRule="auto"/>
              <w:ind w:left="7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one of the above</w:t>
            </w:r>
          </w:p>
          <w:p w:rsidR="00000000" w:rsidDel="00000000" w:rsidP="00000000" w:rsidRDefault="00000000" w:rsidRPr="00000000" w14:paraId="00000048">
            <w:pPr>
              <w:numPr>
                <w:ilvl w:val="0"/>
                <w:numId w:val="12"/>
              </w:numPr>
              <w:spacing w:line="240" w:lineRule="auto"/>
              <w:ind w:left="7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above</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4C">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ERP (Enterprise Resource Planning) Document</w:t>
            </w:r>
          </w:p>
          <w:p w:rsidR="00000000" w:rsidDel="00000000" w:rsidP="00000000" w:rsidRDefault="00000000" w:rsidRPr="00000000" w14:paraId="0000004D">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 shots of user interfaces</w:t>
            </w:r>
          </w:p>
          <w:p w:rsidR="00000000" w:rsidDel="00000000" w:rsidP="00000000" w:rsidRDefault="00000000" w:rsidRPr="00000000" w14:paraId="0000004E">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implementation of e-governance in areas of operation</w:t>
            </w:r>
          </w:p>
          <w:p w:rsidR="00000000" w:rsidDel="00000000" w:rsidP="00000000" w:rsidRDefault="00000000" w:rsidRPr="00000000" w14:paraId="0000004F">
            <w:pPr>
              <w:numPr>
                <w:ilvl w:val="0"/>
                <w:numId w:val="1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Metric No.</w:t>
            </w:r>
            <w:r w:rsidDel="00000000" w:rsidR="00000000" w:rsidRPr="00000000">
              <w:rPr>
                <w:rtl w:val="0"/>
              </w:rPr>
            </w:r>
          </w:p>
        </w:tc>
        <w:tc>
          <w:tcPr>
            <w:vAlign w:val="top"/>
          </w:tcPr>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Indicator - 6.3 Faculty Empowerment Strategies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6.3.1</w:t>
            </w: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has effective welfare measures for teaching and non-teaching staff and avenues for their career development/ progression: </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Enumerate the existing welfare measures for teaching and non-teaching staff (within a maximum of 200 words). </w:t>
            </w:r>
          </w:p>
          <w:p w:rsidR="00000000" w:rsidDel="00000000" w:rsidP="00000000" w:rsidRDefault="00000000" w:rsidRPr="00000000" w14:paraId="0000005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 </w:t>
            </w:r>
            <w:r w:rsidDel="00000000" w:rsidR="00000000" w:rsidRPr="00000000">
              <w:rPr>
                <w:rtl w:val="0"/>
              </w:rPr>
            </w:r>
          </w:p>
          <w:p w:rsidR="00000000" w:rsidDel="00000000" w:rsidP="00000000" w:rsidRDefault="00000000" w:rsidRPr="00000000" w14:paraId="0000005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5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02" w:hRule="atLeast"/>
          <w:tblHeader w:val="0"/>
        </w:trPr>
        <w:tc>
          <w:tcPr>
            <w:vAlign w:val="top"/>
          </w:tcPr>
          <w:p w:rsidR="00000000" w:rsidDel="00000000" w:rsidP="00000000" w:rsidRDefault="00000000" w:rsidRPr="00000000" w14:paraId="0000005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6.3.2</w:t>
            </w:r>
            <w:r w:rsidDel="00000000" w:rsidR="00000000" w:rsidRPr="00000000">
              <w:rPr>
                <w:rtl w:val="0"/>
              </w:rPr>
            </w:r>
          </w:p>
          <w:p w:rsidR="00000000" w:rsidDel="00000000" w:rsidP="00000000" w:rsidRDefault="00000000" w:rsidRPr="00000000" w14:paraId="0000005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teachers provided with financial support to attend conferences / workshops and towards payment of membership fee of professional bodies during the year:</w:t>
            </w:r>
            <w:r w:rsidDel="00000000" w:rsidR="00000000" w:rsidRPr="00000000">
              <w:rPr>
                <w:rtl w:val="0"/>
              </w:rPr>
            </w:r>
          </w:p>
          <w:tbl>
            <w:tblPr>
              <w:tblStyle w:val="Table3"/>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60">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61">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vAlign w:val="top"/>
                </w:tcPr>
                <w:p w:rsidR="00000000" w:rsidDel="00000000" w:rsidP="00000000" w:rsidRDefault="00000000" w:rsidRPr="00000000" w14:paraId="00000062">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63">
                  <w:pPr>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r>
          </w:tbl>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66">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teacher</w:t>
            </w:r>
          </w:p>
          <w:p w:rsidR="00000000" w:rsidDel="00000000" w:rsidP="00000000" w:rsidRDefault="00000000" w:rsidRPr="00000000" w14:paraId="00000067">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conference/ workshop attended for which financial support was provided</w:t>
            </w:r>
          </w:p>
          <w:p w:rsidR="00000000" w:rsidDel="00000000" w:rsidP="00000000" w:rsidRDefault="00000000" w:rsidRPr="00000000" w14:paraId="00000068">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professional body for which membership fee was provided</w:t>
            </w:r>
          </w:p>
          <w:p w:rsidR="00000000" w:rsidDel="00000000" w:rsidP="00000000" w:rsidRDefault="00000000" w:rsidRPr="00000000" w14:paraId="0000006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the data template: </w:t>
            </w:r>
          </w:p>
          <w:p w:rsidR="00000000" w:rsidDel="00000000" w:rsidP="00000000" w:rsidRDefault="00000000" w:rsidRPr="00000000" w14:paraId="0000006B">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6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606"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6.3.3</w:t>
            </w:r>
            <w:r w:rsidDel="00000000" w:rsidR="00000000" w:rsidRPr="00000000">
              <w:rPr>
                <w:rtl w:val="0"/>
              </w:rPr>
            </w:r>
          </w:p>
          <w:p w:rsidR="00000000" w:rsidDel="00000000" w:rsidP="00000000" w:rsidRDefault="00000000" w:rsidRPr="00000000" w14:paraId="0000006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professional development / administrative training programmes organized by the Institution for its teaching and non-teaching staff during the year: </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vAlign w:val="top"/>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r>
          </w:tbl>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78">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professional development programme organised for teaching staff</w:t>
            </w:r>
          </w:p>
          <w:p w:rsidR="00000000" w:rsidDel="00000000" w:rsidP="00000000" w:rsidRDefault="00000000" w:rsidRPr="00000000" w14:paraId="00000079">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administrative training programme organised for non-teaching staff</w:t>
            </w:r>
          </w:p>
          <w:p w:rsidR="00000000" w:rsidDel="00000000" w:rsidP="00000000" w:rsidRDefault="00000000" w:rsidRPr="00000000" w14:paraId="0000007A">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 (from - to)</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7D">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of the Human Resource Development Centres (UGC HRDC/ASC or other relevant centres).</w:t>
            </w:r>
          </w:p>
          <w:p w:rsidR="00000000" w:rsidDel="00000000" w:rsidP="00000000" w:rsidRDefault="00000000" w:rsidRPr="00000000" w14:paraId="0000007E">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7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132" w:hRule="atLeast"/>
          <w:tblHeader w:val="0"/>
        </w:trPr>
        <w:tc>
          <w:tcPr>
            <w:vAlign w:val="top"/>
          </w:tcPr>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6.3.4</w:t>
            </w: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Number of teachers who have undergone online/ face-to-face Faculty Development Programmes during the year:</w:t>
            </w: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(Professional Development Programmes, Orientation / Induction Programmes, Refresher Courses, Short-Term Course, etc.) </w:t>
            </w: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2021-22</w:t>
                  </w:r>
                </w:p>
              </w:tc>
            </w:tr>
            <w:tr>
              <w:trPr>
                <w:cantSplit w:val="0"/>
                <w:tblHeader w:val="0"/>
              </w:trPr>
              <w:tc>
                <w:tcPr>
                  <w:vAlign w:val="top"/>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bl>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w:t>
            </w:r>
          </w:p>
          <w:p w:rsidR="00000000" w:rsidDel="00000000" w:rsidP="00000000" w:rsidRDefault="00000000" w:rsidRPr="00000000" w14:paraId="0000008B">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teachers attended</w:t>
            </w:r>
          </w:p>
          <w:p w:rsidR="00000000" w:rsidDel="00000000" w:rsidP="00000000" w:rsidRDefault="00000000" w:rsidRPr="00000000" w14:paraId="0000008C">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programme</w:t>
            </w:r>
          </w:p>
          <w:p w:rsidR="00000000" w:rsidDel="00000000" w:rsidP="00000000" w:rsidRDefault="00000000" w:rsidRPr="00000000" w14:paraId="0000008D">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(from - to)</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90">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of the IQAC report </w:t>
            </w:r>
          </w:p>
          <w:p w:rsidR="00000000" w:rsidDel="00000000" w:rsidP="00000000" w:rsidRDefault="00000000" w:rsidRPr="00000000" w14:paraId="00000091">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of the Human Resource Development Centres (UGC ASC or other relevant centers).</w:t>
            </w:r>
          </w:p>
          <w:p w:rsidR="00000000" w:rsidDel="00000000" w:rsidP="00000000" w:rsidRDefault="00000000" w:rsidRPr="00000000" w14:paraId="00000092">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9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tl w:val="0"/>
        </w:rPr>
      </w:r>
    </w:p>
    <w:tbl>
      <w:tblPr>
        <w:tblStyle w:val="Table6"/>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blHeader w:val="0"/>
        </w:trPr>
        <w:tc>
          <w:tcPr>
            <w:vAlign w:val="top"/>
          </w:tcPr>
          <w:p w:rsidR="00000000" w:rsidDel="00000000" w:rsidP="00000000" w:rsidRDefault="00000000" w:rsidRPr="00000000" w14:paraId="0000009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96">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6.4 Financial Management and Resource Mobilization</w:t>
            </w:r>
            <w:r w:rsidDel="00000000" w:rsidR="00000000" w:rsidRPr="00000000">
              <w:rPr>
                <w:rtl w:val="0"/>
              </w:rPr>
            </w:r>
          </w:p>
        </w:tc>
      </w:tr>
      <w:tr>
        <w:trPr>
          <w:cantSplit w:val="0"/>
          <w:trHeight w:val="1294" w:hRule="atLeast"/>
          <w:tblHeader w:val="0"/>
        </w:trPr>
        <w:tc>
          <w:tcPr>
            <w:vAlign w:val="top"/>
          </w:tcPr>
          <w:p w:rsidR="00000000" w:rsidDel="00000000" w:rsidP="00000000" w:rsidRDefault="00000000" w:rsidRPr="00000000" w14:paraId="0000009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6.4.1</w:t>
            </w:r>
            <w:r w:rsidDel="00000000" w:rsidR="00000000" w:rsidRPr="00000000">
              <w:rPr>
                <w:rtl w:val="0"/>
              </w:rPr>
            </w:r>
          </w:p>
          <w:p w:rsidR="00000000" w:rsidDel="00000000" w:rsidP="00000000" w:rsidRDefault="00000000" w:rsidRPr="00000000" w14:paraId="0000009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Institution conducts internal and external financial audits regularly:</w:t>
            </w: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Enumerate the various internal and external financial audits carried out during the year highlighting the mechanism for settling audit objections (within a maximum of 200 words).</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D">
            <w:pPr>
              <w:numPr>
                <w:ilvl w:val="0"/>
                <w:numId w:val="14"/>
              </w:numPr>
              <w:spacing w:line="240" w:lineRule="auto"/>
              <w:ind w:left="720" w:hanging="360"/>
              <w:rPr>
                <w:rFonts w:ascii="Times New Roman" w:cs="Times New Roman" w:eastAsia="Times New Roman" w:hAnsi="Times New Roman"/>
                <w:sz w:val="24"/>
                <w:szCs w:val="24"/>
                <w:shd w:fill="e6f7ff" w:val="clear"/>
              </w:rPr>
            </w:pPr>
            <w:r w:rsidDel="00000000" w:rsidR="00000000" w:rsidRPr="00000000">
              <w:rPr>
                <w:rFonts w:ascii="Times New Roman" w:cs="Times New Roman" w:eastAsia="Times New Roman" w:hAnsi="Times New Roman"/>
                <w:sz w:val="24"/>
                <w:szCs w:val="24"/>
                <w:rtl w:val="0"/>
              </w:rPr>
              <w:t xml:space="preserve">Upload any additional information</w:t>
            </w:r>
            <w:r w:rsidDel="00000000" w:rsidR="00000000" w:rsidRPr="00000000">
              <w:rPr>
                <w:rtl w:val="0"/>
              </w:rPr>
            </w:r>
          </w:p>
          <w:p w:rsidR="00000000" w:rsidDel="00000000" w:rsidP="00000000" w:rsidRDefault="00000000" w:rsidRPr="00000000" w14:paraId="0000009E">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9F">
            <w:pPr>
              <w:spacing w:line="240" w:lineRule="auto"/>
              <w:ind w:left="720" w:firstLine="0"/>
              <w:rPr>
                <w:rFonts w:ascii="Times New Roman" w:cs="Times New Roman" w:eastAsia="Times New Roman" w:hAnsi="Times New Roman"/>
                <w:sz w:val="24"/>
                <w:szCs w:val="24"/>
                <w:shd w:fill="e6f7ff" w:val="clear"/>
              </w:rPr>
            </w:pPr>
            <w:r w:rsidDel="00000000" w:rsidR="00000000" w:rsidRPr="00000000">
              <w:rPr>
                <w:rtl w:val="0"/>
              </w:rPr>
            </w:r>
          </w:p>
        </w:tc>
      </w:tr>
      <w:tr>
        <w:trPr>
          <w:cantSplit w:val="0"/>
          <w:trHeight w:val="4141" w:hRule="atLeast"/>
          <w:tblHeader w:val="0"/>
        </w:trPr>
        <w:tc>
          <w:tcPr>
            <w:vAlign w:val="top"/>
          </w:tcPr>
          <w:p w:rsidR="00000000" w:rsidDel="00000000" w:rsidP="00000000" w:rsidRDefault="00000000" w:rsidRPr="00000000" w14:paraId="000000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6.4.2</w:t>
            </w:r>
            <w:r w:rsidDel="00000000" w:rsidR="00000000" w:rsidRPr="00000000">
              <w:rPr>
                <w:rtl w:val="0"/>
              </w:rPr>
            </w:r>
          </w:p>
          <w:p w:rsidR="00000000" w:rsidDel="00000000" w:rsidP="00000000" w:rsidRDefault="00000000" w:rsidRPr="00000000" w14:paraId="000000A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Funds / Grants received from non-government bodies, individuals, and philanthropists during the year (not covered in Criterion III and V) (INR in lakhs:</w:t>
            </w: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2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
              <w:gridCol w:w="1239"/>
              <w:tblGridChange w:id="0">
                <w:tblGrid>
                  <w:gridCol w:w="1070"/>
                  <w:gridCol w:w="1239"/>
                </w:tblGrid>
              </w:tblGridChange>
            </w:tblGrid>
            <w:tr>
              <w:trPr>
                <w:cantSplit w:val="0"/>
                <w:tblHeader w:val="0"/>
              </w:trPr>
              <w:tc>
                <w:tcPr>
                  <w:vAlign w:val="top"/>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tl w:val="0"/>
                    </w:rPr>
                  </w:r>
                </w:p>
              </w:tc>
              <w:tc>
                <w:tcPr>
                  <w:vAlign w:val="top"/>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tl w:val="0"/>
                    </w:rPr>
                  </w:r>
                </w:p>
              </w:tc>
              <w:tc>
                <w:tcPr>
                  <w:vAlign w:val="top"/>
                </w:tcPr>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w:t>
            </w:r>
          </w:p>
          <w:p w:rsidR="00000000" w:rsidDel="00000000" w:rsidP="00000000" w:rsidRDefault="00000000" w:rsidRPr="00000000" w14:paraId="000000AA">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non-government funding agencies/ individuals/ philanthropists</w:t>
            </w:r>
          </w:p>
          <w:p w:rsidR="00000000" w:rsidDel="00000000" w:rsidP="00000000" w:rsidRDefault="00000000" w:rsidRPr="00000000" w14:paraId="000000AB">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Grants received</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AE">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statements of accounts</w:t>
            </w:r>
          </w:p>
          <w:p w:rsidR="00000000" w:rsidDel="00000000" w:rsidP="00000000" w:rsidRDefault="00000000" w:rsidRPr="00000000" w14:paraId="000000AF">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funds / grants received from non-government bodies, individuals, philanthropists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year</w:t>
            </w:r>
          </w:p>
          <w:p w:rsidR="00000000" w:rsidDel="00000000" w:rsidP="00000000" w:rsidRDefault="00000000" w:rsidRPr="00000000" w14:paraId="000000B0">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information</w:t>
            </w:r>
          </w:p>
        </w:tc>
      </w:tr>
      <w:tr>
        <w:trPr>
          <w:cantSplit w:val="0"/>
          <w:trHeight w:val="2252" w:hRule="atLeast"/>
          <w:tblHeader w:val="0"/>
        </w:trPr>
        <w:tc>
          <w:tcPr>
            <w:vAlign w:val="top"/>
          </w:tcPr>
          <w:p w:rsidR="00000000" w:rsidDel="00000000" w:rsidP="00000000" w:rsidRDefault="00000000" w:rsidRPr="00000000" w14:paraId="000000B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6.4.3</w:t>
            </w:r>
            <w:r w:rsidDel="00000000" w:rsidR="00000000" w:rsidRPr="00000000">
              <w:rPr>
                <w:rtl w:val="0"/>
              </w:rPr>
            </w:r>
          </w:p>
          <w:p w:rsidR="00000000" w:rsidDel="00000000" w:rsidP="00000000" w:rsidRDefault="00000000" w:rsidRPr="00000000" w14:paraId="000000B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Institutional strategies for mobilisation of funds and the optimal utilisation of resources:</w:t>
            </w: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institution’s resource mobilisation policy and procedures within a maximum of 200 words.</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B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B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tc>
      </w:tr>
      <w:tr>
        <w:trPr>
          <w:cantSplit w:val="0"/>
          <w:tblHeader w:val="0"/>
        </w:trPr>
        <w:tc>
          <w:tcPr>
            <w:vAlign w:val="top"/>
          </w:tcPr>
          <w:p w:rsidR="00000000" w:rsidDel="00000000" w:rsidP="00000000" w:rsidRDefault="00000000" w:rsidRPr="00000000" w14:paraId="000000B9">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BA">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- 6.5 Internal Quality Assurance System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6.5.1</w:t>
            </w:r>
            <w:r w:rsidDel="00000000" w:rsidR="00000000" w:rsidRPr="00000000">
              <w:rPr>
                <w:rtl w:val="0"/>
              </w:rPr>
            </w:r>
          </w:p>
          <w:p w:rsidR="00000000" w:rsidDel="00000000" w:rsidP="00000000" w:rsidRDefault="00000000" w:rsidRPr="00000000" w14:paraId="000000B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Internal Quality Assurance Cell (IQAC) has contributed significantly for institutionalizing quality assurance strategies and processes visible in terms of </w:t>
            </w: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incremental improvements made during the preceding year with regard to quality (in case of the First Cycle):</w:t>
            </w: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Incremental improvements made during the preceding year with regard to quality and post-accreditation quality initiatives (Second and subsequent cycles):           </w:t>
            </w: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two practices that have been institutionalized as a result of IQAC initiatives (within a maximum of 200 words).</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Peer Review:</w:t>
            </w:r>
          </w:p>
          <w:p w:rsidR="00000000" w:rsidDel="00000000" w:rsidP="00000000" w:rsidRDefault="00000000" w:rsidRPr="00000000" w14:paraId="000000C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enhancing and sustaining quality at institutional level periodic review is necessary , considering that IQAC constituted a committee of three renowned academicians from other institutions and the same was invited to evaluate the performance of the institution during the year 2023-2024. The Committee visited the institution on 22nd October, 2024, saw the presentations of all the departments and verified all the supporting documents. Post review, the  committee shared their observations, affirmations and recommendations in a meeting of Heads of departments and handed over the  report of their visit to the head of Institution for further improvement. </w:t>
            </w:r>
          </w:p>
          <w:p w:rsidR="00000000" w:rsidDel="00000000" w:rsidP="00000000" w:rsidRDefault="00000000" w:rsidRPr="00000000" w14:paraId="000000C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numPr>
                <w:ilvl w:val="0"/>
                <w:numId w:val="2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Audit:</w:t>
            </w:r>
          </w:p>
          <w:p w:rsidR="00000000" w:rsidDel="00000000" w:rsidP="00000000" w:rsidRDefault="00000000" w:rsidRPr="00000000" w14:paraId="000000C7">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holistic development of the students, the institution arranges a variety of events on a regular basis through its different committees. The activities conducted in the first term for academic year 2023-24 is reviewed in the first IQAC meeting so that further improvement can be done. To ensure quality in this aspect, IQAC decided to verify the number and nature of activities arranged by various committees of the institution and accordingly, Activity Audit was conducted in the last week of April, 2024 , where chairpersons of all concerned committees shared detailed report of their committee in the structured format provided by the IQAC and as a part of process IQAC Coordinator and deputy Coordinator  reviewed all the reports and verified the supporting documents provided. Based on the observations relevant recommendations for further improvements were given to all the committees. </w:t>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C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C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CC">
            <w:pPr>
              <w:spacing w:line="240" w:lineRule="auto"/>
              <w:ind w:left="720" w:firstLine="0"/>
              <w:rPr>
                <w:rFonts w:ascii="Times New Roman" w:cs="Times New Roman" w:eastAsia="Times New Roman" w:hAnsi="Times New Roman"/>
                <w:sz w:val="24"/>
                <w:szCs w:val="24"/>
                <w:shd w:fill="e6f7ff" w:val="clea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6.5.2</w:t>
            </w:r>
            <w:r w:rsidDel="00000000" w:rsidR="00000000" w:rsidRPr="00000000">
              <w:rPr>
                <w:rtl w:val="0"/>
              </w:rPr>
            </w:r>
          </w:p>
          <w:p w:rsidR="00000000" w:rsidDel="00000000" w:rsidP="00000000" w:rsidRDefault="00000000" w:rsidRPr="00000000" w14:paraId="000000C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reviews its teaching-learning process, structures and methodologies of operation and learning outcomes at periodic intervals through its IQAC as per norms:</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any two examples of institutional reviews and implementation of teaching-learning reforms facilitated by the IQAC (within a maximum of 200 words each).</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D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D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D6">
            <w:pPr>
              <w:spacing w:line="240" w:lineRule="auto"/>
              <w:ind w:left="720" w:firstLine="0"/>
              <w:rPr>
                <w:rFonts w:ascii="Times New Roman" w:cs="Times New Roman" w:eastAsia="Times New Roman" w:hAnsi="Times New Roman"/>
                <w:sz w:val="24"/>
                <w:szCs w:val="24"/>
                <w:shd w:fill="e6f7ff" w:val="clear"/>
              </w:rPr>
            </w:pPr>
            <w:r w:rsidDel="00000000" w:rsidR="00000000" w:rsidRPr="00000000">
              <w:rPr>
                <w:rtl w:val="0"/>
              </w:rPr>
            </w:r>
          </w:p>
        </w:tc>
      </w:tr>
    </w:tbl>
    <w:p w:rsidR="00000000" w:rsidDel="00000000" w:rsidP="00000000" w:rsidRDefault="00000000" w:rsidRPr="00000000" w14:paraId="000000D7">
      <w:pPr>
        <w:spacing w:after="200" w:line="276" w:lineRule="auto"/>
        <w:rPr>
          <w:rFonts w:ascii="Calibri" w:cs="Calibri" w:eastAsia="Calibri" w:hAnsi="Calibri"/>
        </w:rPr>
      </w:pPr>
      <w:r w:rsidDel="00000000" w:rsidR="00000000" w:rsidRPr="00000000">
        <w:br w:type="page"/>
      </w:r>
      <w:r w:rsidDel="00000000" w:rsidR="00000000" w:rsidRPr="00000000">
        <w:rPr>
          <w:rtl w:val="0"/>
        </w:rPr>
      </w:r>
    </w:p>
    <w:tbl>
      <w:tblPr>
        <w:tblStyle w:val="Table8"/>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rHeight w:val="71" w:hRule="atLeast"/>
          <w:tblHeader w:val="0"/>
        </w:trPr>
        <w:tc>
          <w:tcPr>
            <w:vAlign w:val="top"/>
          </w:tcPr>
          <w:p w:rsidR="00000000" w:rsidDel="00000000" w:rsidP="00000000" w:rsidRDefault="00000000" w:rsidRPr="00000000" w14:paraId="000000D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6.5.3</w:t>
            </w:r>
            <w:r w:rsidDel="00000000" w:rsidR="00000000" w:rsidRPr="00000000">
              <w:rPr>
                <w:rtl w:val="0"/>
              </w:rPr>
            </w:r>
          </w:p>
          <w:p w:rsidR="00000000" w:rsidDel="00000000" w:rsidP="00000000" w:rsidRDefault="00000000" w:rsidRPr="00000000" w14:paraId="000000D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Quality assurance initiatives of the institution include:</w:t>
            </w:r>
            <w:r w:rsidDel="00000000" w:rsidR="00000000" w:rsidRPr="00000000">
              <w:rPr>
                <w:rtl w:val="0"/>
              </w:rPr>
            </w:r>
          </w:p>
          <w:p w:rsidR="00000000" w:rsidDel="00000000" w:rsidP="00000000" w:rsidRDefault="00000000" w:rsidRPr="00000000" w14:paraId="000000DC">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meeting of the IQAC</w:t>
            </w:r>
          </w:p>
          <w:p w:rsidR="00000000" w:rsidDel="00000000" w:rsidP="00000000" w:rsidRDefault="00000000" w:rsidRPr="00000000" w14:paraId="000000DD">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collected, analysed and used for improvement of the institution </w:t>
            </w:r>
          </w:p>
          <w:p w:rsidR="00000000" w:rsidDel="00000000" w:rsidP="00000000" w:rsidRDefault="00000000" w:rsidRPr="00000000" w14:paraId="000000DE">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quality initiatives with other institution(s)</w:t>
            </w:r>
          </w:p>
          <w:p w:rsidR="00000000" w:rsidDel="00000000" w:rsidP="00000000" w:rsidRDefault="00000000" w:rsidRPr="00000000" w14:paraId="000000DF">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NIRF</w:t>
            </w:r>
          </w:p>
          <w:p w:rsidR="00000000" w:rsidDel="00000000" w:rsidP="00000000" w:rsidRDefault="00000000" w:rsidRPr="00000000" w14:paraId="000000E0">
            <w:pPr>
              <w:numPr>
                <w:ilvl w:val="0"/>
                <w:numId w:val="2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quality audit recognized by state, national or international agencies (such as ISO Certification)</w:t>
            </w:r>
          </w:p>
          <w:p w:rsidR="00000000" w:rsidDel="00000000" w:rsidP="00000000" w:rsidRDefault="00000000" w:rsidRPr="00000000" w14:paraId="000000E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E2">
            <w:pPr>
              <w:numPr>
                <w:ilvl w:val="0"/>
                <w:numId w:val="5"/>
              </w:num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4 or all of the above</w:t>
            </w:r>
          </w:p>
          <w:p w:rsidR="00000000" w:rsidDel="00000000" w:rsidP="00000000" w:rsidRDefault="00000000" w:rsidRPr="00000000" w14:paraId="000000E3">
            <w:pPr>
              <w:numPr>
                <w:ilvl w:val="0"/>
                <w:numId w:val="5"/>
              </w:numPr>
              <w:spacing w:line="240" w:lineRule="auto"/>
              <w:ind w:left="329"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Any 3 of the above</w:t>
            </w:r>
            <w:r w:rsidDel="00000000" w:rsidR="00000000" w:rsidRPr="00000000">
              <w:rPr>
                <w:rtl w:val="0"/>
              </w:rPr>
            </w:r>
          </w:p>
          <w:p w:rsidR="00000000" w:rsidDel="00000000" w:rsidP="00000000" w:rsidRDefault="00000000" w:rsidRPr="00000000" w14:paraId="000000E4">
            <w:pPr>
              <w:numPr>
                <w:ilvl w:val="0"/>
                <w:numId w:val="5"/>
              </w:numPr>
              <w:spacing w:line="240" w:lineRule="auto"/>
              <w:ind w:left="329"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2 of the above         </w:t>
            </w:r>
          </w:p>
          <w:p w:rsidR="00000000" w:rsidDel="00000000" w:rsidP="00000000" w:rsidRDefault="00000000" w:rsidRPr="00000000" w14:paraId="000000E5">
            <w:pPr>
              <w:numPr>
                <w:ilvl w:val="0"/>
                <w:numId w:val="5"/>
              </w:numPr>
              <w:spacing w:line="240" w:lineRule="auto"/>
              <w:ind w:left="329"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1 of the above</w:t>
            </w:r>
          </w:p>
          <w:p w:rsidR="00000000" w:rsidDel="00000000" w:rsidP="00000000" w:rsidRDefault="00000000" w:rsidRPr="00000000" w14:paraId="000000E6">
            <w:pPr>
              <w:numPr>
                <w:ilvl w:val="0"/>
                <w:numId w:val="5"/>
              </w:numPr>
              <w:spacing w:line="240" w:lineRule="auto"/>
              <w:ind w:left="329"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None of the above</w:t>
            </w:r>
          </w:p>
          <w:p w:rsidR="00000000" w:rsidDel="00000000" w:rsidP="00000000" w:rsidRDefault="00000000" w:rsidRPr="00000000" w14:paraId="000000E7">
            <w:pPr>
              <w:spacing w:line="240" w:lineRule="auto"/>
              <w:ind w:left="-3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the data template: </w:t>
            </w:r>
          </w:p>
          <w:p w:rsidR="00000000" w:rsidDel="00000000" w:rsidP="00000000" w:rsidRDefault="00000000" w:rsidRPr="00000000" w14:paraId="000000EA">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the web link of annual reports of the Institution</w:t>
            </w:r>
          </w:p>
          <w:p w:rsidR="00000000" w:rsidDel="00000000" w:rsidP="00000000" w:rsidRDefault="00000000" w:rsidRPr="00000000" w14:paraId="000000EB">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e-copies of accreditations and certification</w:t>
            </w:r>
          </w:p>
          <w:p w:rsidR="00000000" w:rsidDel="00000000" w:rsidP="00000000" w:rsidRDefault="00000000" w:rsidRPr="00000000" w14:paraId="000000EC">
            <w:pPr>
              <w:numPr>
                <w:ilvl w:val="0"/>
                <w:numId w:val="1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Upload details of quality assurance initiatives of the institution</w:t>
            </w:r>
            <w:r w:rsidDel="00000000" w:rsidR="00000000" w:rsidRPr="00000000">
              <w:rPr>
                <w:rtl w:val="0"/>
              </w:rPr>
            </w:r>
          </w:p>
          <w:p w:rsidR="00000000" w:rsidDel="00000000" w:rsidP="00000000" w:rsidRDefault="00000000" w:rsidRPr="00000000" w14:paraId="000000ED">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EE">
            <w:pPr>
              <w:spacing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E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upperLetter"/>
      <w:lvlText w:val="%1."/>
      <w:lvlJc w:val="left"/>
      <w:pPr>
        <w:ind w:left="785"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decimal"/>
      <w:lvlText w:val="%1."/>
      <w:lvlJc w:val="left"/>
      <w:pPr>
        <w:ind w:left="720" w:hanging="360"/>
      </w:pPr>
      <w:rPr>
        <w:vertAlign w:val="baseline"/>
      </w:rPr>
    </w:lvl>
    <w:lvl w:ilvl="1">
      <w:start w:val="3"/>
      <w:numFmt w:val="decimal"/>
      <w:lvlText w:val="%1.%2"/>
      <w:lvlJc w:val="left"/>
      <w:pPr>
        <w:ind w:left="960" w:hanging="600"/>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vpendharkarcollege.org/AboutUs_Pages/vision_mission.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525RhV4gLf6roiFQSKNY2Eq6A==">CgMxLjA4AHIhMXk3NnpyTkd1Mkx6SkhBMlZza1JHa1I0aG5uS0UxZldD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